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18" w:rsidRDefault="00CF36BB">
      <w:pPr>
        <w:jc w:val="center"/>
        <w:rPr>
          <w:rFonts w:ascii="Calibri" w:eastAsia="Calibri" w:hAnsi="Calibri" w:cs="Calibri"/>
          <w:b/>
          <w:bCs/>
          <w:sz w:val="22"/>
          <w:szCs w:val="22"/>
          <w:lang w:val="fr-FR"/>
        </w:rPr>
      </w:pPr>
      <w:r>
        <w:rPr>
          <w:rFonts w:ascii="Arial Bold"/>
          <w:noProof/>
          <w:color w:val="00B050"/>
          <w:sz w:val="22"/>
          <w:szCs w:val="22"/>
          <w:u w:color="00B050"/>
          <w:lang w:val="fr-FR" w:eastAsia="fr-FR"/>
        </w:rPr>
        <w:drawing>
          <wp:inline distT="0" distB="0" distL="0" distR="0">
            <wp:extent cx="4344988" cy="14923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climate.jpeg"/>
                    <pic:cNvPicPr/>
                  </pic:nvPicPr>
                  <pic:blipFill>
                    <a:blip r:embed="rId8">
                      <a:extLst/>
                    </a:blip>
                    <a:stretch>
                      <a:fillRect/>
                    </a:stretch>
                  </pic:blipFill>
                  <pic:spPr>
                    <a:xfrm>
                      <a:off x="0" y="0"/>
                      <a:ext cx="4344988" cy="1492301"/>
                    </a:xfrm>
                    <a:prstGeom prst="rect">
                      <a:avLst/>
                    </a:prstGeom>
                    <a:ln w="12700" cap="flat">
                      <a:noFill/>
                      <a:miter lim="400000"/>
                    </a:ln>
                    <a:effectLst/>
                  </pic:spPr>
                </pic:pic>
              </a:graphicData>
            </a:graphic>
          </wp:inline>
        </w:drawing>
      </w:r>
    </w:p>
    <w:p w:rsidR="00022D18" w:rsidRDefault="00022D18">
      <w:pPr>
        <w:jc w:val="center"/>
        <w:rPr>
          <w:rFonts w:ascii="Calibri" w:eastAsia="Calibri" w:hAnsi="Calibri" w:cs="Calibri"/>
          <w:b/>
          <w:bCs/>
          <w:sz w:val="22"/>
          <w:szCs w:val="22"/>
          <w:lang w:val="fr-FR"/>
        </w:rPr>
      </w:pPr>
    </w:p>
    <w:p w:rsidR="00022D18" w:rsidRDefault="00CF36BB">
      <w:pPr>
        <w:jc w:val="center"/>
        <w:rPr>
          <w:rFonts w:ascii="Calibri" w:eastAsia="Calibri" w:hAnsi="Calibri" w:cs="Calibri"/>
          <w:b/>
          <w:bCs/>
          <w:sz w:val="22"/>
          <w:szCs w:val="22"/>
        </w:rPr>
      </w:pPr>
      <w:r>
        <w:rPr>
          <w:rFonts w:ascii="Calibri" w:eastAsia="Calibri" w:hAnsi="Calibri" w:cs="Calibri"/>
          <w:b/>
          <w:bCs/>
          <w:sz w:val="22"/>
          <w:szCs w:val="22"/>
        </w:rPr>
        <w:t>Green demands for COP20, Lima, Peru</w:t>
      </w:r>
    </w:p>
    <w:p w:rsidR="00022D18" w:rsidRDefault="00022D18">
      <w:pPr>
        <w:jc w:val="center"/>
        <w:rPr>
          <w:rFonts w:ascii="Calibri" w:eastAsia="Calibri" w:hAnsi="Calibri" w:cs="Calibri"/>
          <w:b/>
          <w:bCs/>
          <w:sz w:val="22"/>
          <w:szCs w:val="22"/>
        </w:rPr>
      </w:pPr>
    </w:p>
    <w:p w:rsidR="00022D18" w:rsidRDefault="00CF36BB">
      <w:pPr>
        <w:pStyle w:val="NormalWeb"/>
        <w:jc w:val="both"/>
        <w:rPr>
          <w:rFonts w:ascii="Calibri" w:eastAsia="Calibri" w:hAnsi="Calibri" w:cs="Calibri"/>
          <w:sz w:val="22"/>
          <w:szCs w:val="22"/>
        </w:rPr>
      </w:pPr>
      <w:r>
        <w:rPr>
          <w:rFonts w:ascii="Calibri" w:eastAsia="Calibri" w:hAnsi="Calibri" w:cs="Calibri"/>
          <w:sz w:val="22"/>
          <w:szCs w:val="22"/>
        </w:rPr>
        <w:t xml:space="preserve">The </w:t>
      </w:r>
      <w:hyperlink r:id="rId9" w:history="1">
        <w:r>
          <w:rPr>
            <w:rStyle w:val="Hyperlink0"/>
          </w:rPr>
          <w:t>latest</w:t>
        </w:r>
        <w:r w:rsidR="00034AB9">
          <w:rPr>
            <w:rStyle w:val="Hyperlink0"/>
          </w:rPr>
          <w:t xml:space="preserve"> Assessment R</w:t>
        </w:r>
        <w:r>
          <w:rPr>
            <w:rStyle w:val="Hyperlink0"/>
          </w:rPr>
          <w:t xml:space="preserve">eport </w:t>
        </w:r>
        <w:r w:rsidR="00034AB9">
          <w:rPr>
            <w:rStyle w:val="Hyperlink0"/>
          </w:rPr>
          <w:t xml:space="preserve">(5AR) </w:t>
        </w:r>
        <w:r>
          <w:rPr>
            <w:rStyle w:val="Hyperlink0"/>
          </w:rPr>
          <w:t>by the Intergovernmental Panel on Climate Change</w:t>
        </w:r>
      </w:hyperlink>
      <w:r>
        <w:rPr>
          <w:rFonts w:ascii="Calibri" w:eastAsia="Calibri" w:hAnsi="Calibri" w:cs="Calibri"/>
          <w:sz w:val="22"/>
          <w:szCs w:val="22"/>
        </w:rPr>
        <w:t xml:space="preserve"> (IPCC) has</w:t>
      </w:r>
      <w:r w:rsidR="00034AB9">
        <w:rPr>
          <w:rFonts w:ascii="Calibri" w:eastAsia="Calibri" w:hAnsi="Calibri" w:cs="Calibri"/>
          <w:sz w:val="22"/>
          <w:szCs w:val="22"/>
        </w:rPr>
        <w:t xml:space="preserve"> presented the evidence</w:t>
      </w:r>
      <w:r>
        <w:rPr>
          <w:rFonts w:ascii="Calibri" w:eastAsia="Calibri" w:hAnsi="Calibri" w:cs="Calibri"/>
          <w:sz w:val="22"/>
          <w:szCs w:val="22"/>
        </w:rPr>
        <w:t xml:space="preserve"> the warming of our climate system is unequivocal and that human activities are the dominant cause of observed climate change since the middle of the 20th century. The </w:t>
      </w:r>
      <w:hyperlink r:id="rId10" w:history="1">
        <w:r>
          <w:rPr>
            <w:rStyle w:val="Hyperlink0"/>
          </w:rPr>
          <w:t>climate-change impacts are already visible</w:t>
        </w:r>
      </w:hyperlink>
      <w:r>
        <w:rPr>
          <w:rFonts w:ascii="Calibri" w:eastAsia="Calibri" w:hAnsi="Calibri" w:cs="Calibri"/>
          <w:sz w:val="22"/>
          <w:szCs w:val="22"/>
        </w:rPr>
        <w:t xml:space="preserve"> in natural and human systems on all continents and across the oceans. Continued emissions of greenhouse gases will cause further warming and changes to the land, atmosphere and oceans in all regions of the globe and affect all countries. </w:t>
      </w:r>
    </w:p>
    <w:p w:rsidR="00022D18" w:rsidRDefault="00340EC6">
      <w:pPr>
        <w:pStyle w:val="NormalWeb"/>
        <w:jc w:val="both"/>
        <w:rPr>
          <w:rFonts w:ascii="Calibri" w:eastAsia="Calibri" w:hAnsi="Calibri" w:cs="Calibri"/>
          <w:sz w:val="22"/>
          <w:szCs w:val="22"/>
        </w:rPr>
      </w:pPr>
      <w:hyperlink r:id="rId11" w:history="1">
        <w:r w:rsidR="00CF36BB">
          <w:rPr>
            <w:rStyle w:val="Hyperlink0"/>
          </w:rPr>
          <w:t>From 2000 to 2010 global greenhouse gas emissions were the highest in human history</w:t>
        </w:r>
      </w:hyperlink>
      <w:r w:rsidR="00CF36BB">
        <w:rPr>
          <w:rFonts w:ascii="Calibri" w:eastAsia="Calibri" w:hAnsi="Calibri" w:cs="Calibri"/>
          <w:sz w:val="22"/>
          <w:szCs w:val="22"/>
        </w:rPr>
        <w:t>. Scientis</w:t>
      </w:r>
      <w:r w:rsidR="00034AB9">
        <w:rPr>
          <w:rFonts w:ascii="Calibri" w:eastAsia="Calibri" w:hAnsi="Calibri" w:cs="Calibri"/>
          <w:sz w:val="22"/>
          <w:szCs w:val="22"/>
        </w:rPr>
        <w:t>ts</w:t>
      </w:r>
      <w:r w:rsidR="00CF36BB">
        <w:rPr>
          <w:rFonts w:ascii="Calibri" w:eastAsia="Calibri" w:hAnsi="Calibri" w:cs="Calibri"/>
          <w:sz w:val="22"/>
          <w:szCs w:val="22"/>
        </w:rPr>
        <w:t xml:space="preserve"> </w:t>
      </w:r>
      <w:r w:rsidR="00034AB9">
        <w:rPr>
          <w:rFonts w:ascii="Calibri" w:eastAsia="Calibri" w:hAnsi="Calibri" w:cs="Calibri"/>
          <w:sz w:val="22"/>
          <w:szCs w:val="22"/>
        </w:rPr>
        <w:t>predict</w:t>
      </w:r>
      <w:r w:rsidR="00CF36BB">
        <w:rPr>
          <w:rFonts w:ascii="Calibri" w:eastAsia="Calibri" w:hAnsi="Calibri" w:cs="Calibri"/>
          <w:sz w:val="22"/>
          <w:szCs w:val="22"/>
        </w:rPr>
        <w:t xml:space="preserve"> that without significant global mitigation action to reduce greenhouse gas emissions, global average temperature is likely to be as much </w:t>
      </w:r>
      <w:hyperlink r:id="rId12" w:history="1">
        <w:r w:rsidR="00CF36BB">
          <w:rPr>
            <w:rStyle w:val="Hyperlink0"/>
          </w:rPr>
          <w:t>as 5°C higher by the end of the century</w:t>
        </w:r>
      </w:hyperlink>
      <w:r w:rsidR="00CF36BB">
        <w:rPr>
          <w:rFonts w:ascii="Calibri" w:eastAsia="Calibri" w:hAnsi="Calibri" w:cs="Calibri"/>
          <w:sz w:val="22"/>
          <w:szCs w:val="22"/>
        </w:rPr>
        <w:t xml:space="preserve">. But the latest Assessment Report also underlines </w:t>
      </w:r>
      <w:hyperlink r:id="rId13" w:history="1">
        <w:r w:rsidR="00CF36BB">
          <w:rPr>
            <w:rStyle w:val="Hyperlink0"/>
          </w:rPr>
          <w:t>a series of solutions that can prevent global warming to rise above 1.5 provided that the world acts quickly enough and turns away from fossil fuels</w:t>
        </w:r>
      </w:hyperlink>
      <w:r w:rsidR="00CF36BB">
        <w:rPr>
          <w:rFonts w:ascii="Calibri" w:eastAsia="Calibri" w:hAnsi="Calibri" w:cs="Calibri"/>
          <w:sz w:val="22"/>
          <w:szCs w:val="22"/>
        </w:rPr>
        <w:t xml:space="preserve">. </w:t>
      </w:r>
    </w:p>
    <w:p w:rsidR="00022D18" w:rsidRDefault="00CF36BB">
      <w:pPr>
        <w:pStyle w:val="NormalWeb"/>
        <w:jc w:val="both"/>
        <w:rPr>
          <w:rFonts w:ascii="Calibri" w:eastAsia="Calibri" w:hAnsi="Calibri" w:cs="Calibri"/>
          <w:sz w:val="22"/>
          <w:szCs w:val="22"/>
        </w:rPr>
      </w:pPr>
      <w:r>
        <w:rPr>
          <w:rFonts w:ascii="Calibri" w:eastAsia="Calibri" w:hAnsi="Calibri" w:cs="Calibri"/>
          <w:sz w:val="22"/>
          <w:szCs w:val="22"/>
        </w:rPr>
        <w:t xml:space="preserve">Although every country will have to contribute to the effort to reduce </w:t>
      </w:r>
      <w:r w:rsidR="00B568A6">
        <w:rPr>
          <w:rFonts w:ascii="Calibri" w:eastAsia="Calibri" w:hAnsi="Calibri" w:cs="Calibri"/>
          <w:sz w:val="22"/>
          <w:szCs w:val="22"/>
        </w:rPr>
        <w:t>their climate impact</w:t>
      </w:r>
      <w:r>
        <w:rPr>
          <w:rFonts w:ascii="Calibri" w:eastAsia="Calibri" w:hAnsi="Calibri" w:cs="Calibri"/>
          <w:sz w:val="22"/>
          <w:szCs w:val="22"/>
        </w:rPr>
        <w:t xml:space="preserve">, the EU has to step up its ambition to ensure the future UN climate agreement </w:t>
      </w:r>
      <w:r w:rsidR="00034AB9">
        <w:rPr>
          <w:rFonts w:ascii="Calibri" w:eastAsia="Calibri" w:hAnsi="Calibri" w:cs="Calibri"/>
          <w:sz w:val="22"/>
          <w:szCs w:val="22"/>
        </w:rPr>
        <w:t xml:space="preserve">is </w:t>
      </w:r>
      <w:r>
        <w:rPr>
          <w:rFonts w:ascii="Calibri" w:eastAsia="Calibri" w:hAnsi="Calibri" w:cs="Calibri"/>
          <w:sz w:val="22"/>
          <w:szCs w:val="22"/>
        </w:rPr>
        <w:t>sealed in December 2015</w:t>
      </w:r>
      <w:r w:rsidR="00034AB9">
        <w:rPr>
          <w:rFonts w:ascii="Calibri" w:eastAsia="Calibri" w:hAnsi="Calibri" w:cs="Calibri"/>
          <w:sz w:val="22"/>
          <w:szCs w:val="22"/>
        </w:rPr>
        <w:t xml:space="preserve"> and </w:t>
      </w:r>
      <w:r>
        <w:rPr>
          <w:rFonts w:ascii="Calibri" w:eastAsia="Calibri" w:hAnsi="Calibri" w:cs="Calibri"/>
          <w:sz w:val="22"/>
          <w:szCs w:val="22"/>
        </w:rPr>
        <w:t xml:space="preserve">is up to the challenge of maintaining climate change to well below 2C. </w:t>
      </w:r>
      <w:r w:rsidR="00034AB9">
        <w:rPr>
          <w:rFonts w:ascii="Calibri" w:eastAsia="Calibri" w:hAnsi="Calibri" w:cs="Calibri"/>
          <w:b/>
          <w:bCs/>
          <w:sz w:val="22"/>
          <w:szCs w:val="22"/>
        </w:rPr>
        <w:t>I</w:t>
      </w:r>
      <w:r>
        <w:rPr>
          <w:rFonts w:ascii="Calibri" w:eastAsia="Calibri" w:hAnsi="Calibri" w:cs="Calibri"/>
          <w:b/>
          <w:bCs/>
          <w:sz w:val="22"/>
          <w:szCs w:val="22"/>
        </w:rPr>
        <w:t xml:space="preserve">ncreasing Europe’s climate ambition ahead of this climate summit in Paris in December 2015 can </w:t>
      </w:r>
      <w:hyperlink r:id="rId14" w:history="1">
        <w:r>
          <w:rPr>
            <w:rStyle w:val="Hyperlink1"/>
            <w:b/>
            <w:bCs/>
          </w:rPr>
          <w:t xml:space="preserve">benefit the EU </w:t>
        </w:r>
      </w:hyperlink>
      <w:r>
        <w:rPr>
          <w:rFonts w:ascii="Calibri" w:eastAsia="Calibri" w:hAnsi="Calibri" w:cs="Calibri"/>
          <w:b/>
          <w:bCs/>
          <w:sz w:val="22"/>
          <w:szCs w:val="22"/>
        </w:rPr>
        <w:t>as well as drive a race to the top for other countries to step up their climate efforts.</w:t>
      </w:r>
      <w:r>
        <w:rPr>
          <w:rFonts w:ascii="Calibri" w:eastAsia="Calibri" w:hAnsi="Calibri" w:cs="Calibri"/>
          <w:sz w:val="22"/>
          <w:szCs w:val="22"/>
        </w:rPr>
        <w:t xml:space="preserve"> </w:t>
      </w:r>
    </w:p>
    <w:p w:rsidR="00034AB9" w:rsidRDefault="00034AB9">
      <w:pPr>
        <w:pStyle w:val="NormalWeb"/>
        <w:jc w:val="both"/>
        <w:rPr>
          <w:rFonts w:ascii="Calibri" w:eastAsia="Calibri" w:hAnsi="Calibri" w:cs="Calibri"/>
          <w:sz w:val="22"/>
          <w:szCs w:val="22"/>
        </w:rPr>
      </w:pPr>
    </w:p>
    <w:p w:rsidR="00022D18" w:rsidRDefault="00CF36BB">
      <w:pPr>
        <w:rPr>
          <w:rFonts w:ascii="Calibri" w:eastAsia="Calibri" w:hAnsi="Calibri" w:cs="Calibri"/>
          <w:sz w:val="22"/>
          <w:szCs w:val="22"/>
        </w:rPr>
      </w:pPr>
      <w:r w:rsidRPr="00034AB9">
        <w:rPr>
          <w:rFonts w:ascii="Calibri" w:eastAsia="Calibri" w:hAnsi="Calibri" w:cs="Calibri"/>
          <w:b/>
          <w:sz w:val="22"/>
          <w:szCs w:val="22"/>
        </w:rPr>
        <w:t>The Greens</w:t>
      </w:r>
      <w:r>
        <w:rPr>
          <w:rFonts w:ascii="Calibri" w:eastAsia="Calibri" w:hAnsi="Calibri" w:cs="Calibri"/>
          <w:sz w:val="22"/>
          <w:szCs w:val="22"/>
        </w:rPr>
        <w:t xml:space="preserve"> demand that at the 20th COP in Lima, </w:t>
      </w:r>
      <w:proofErr w:type="gramStart"/>
      <w:r>
        <w:rPr>
          <w:rFonts w:ascii="Calibri" w:eastAsia="Calibri" w:hAnsi="Calibri" w:cs="Calibri"/>
          <w:sz w:val="22"/>
          <w:szCs w:val="22"/>
        </w:rPr>
        <w:t>Peru ,</w:t>
      </w:r>
      <w:proofErr w:type="gramEnd"/>
      <w:r>
        <w:rPr>
          <w:rFonts w:ascii="Calibri" w:eastAsia="Calibri" w:hAnsi="Calibri" w:cs="Calibri"/>
          <w:sz w:val="22"/>
          <w:szCs w:val="22"/>
        </w:rPr>
        <w:t xml:space="preserve"> the EU</w:t>
      </w:r>
    </w:p>
    <w:p w:rsidR="00022D18" w:rsidRDefault="00022D18">
      <w:pPr>
        <w:rPr>
          <w:rFonts w:ascii="Calibri" w:eastAsia="Calibri" w:hAnsi="Calibri" w:cs="Calibri"/>
          <w:sz w:val="22"/>
          <w:szCs w:val="22"/>
        </w:rPr>
      </w:pPr>
    </w:p>
    <w:p w:rsidR="00022D18" w:rsidRDefault="00022D18">
      <w:pPr>
        <w:rPr>
          <w:rFonts w:ascii="Calibri" w:eastAsia="Calibri" w:hAnsi="Calibri" w:cs="Calibri"/>
          <w:sz w:val="22"/>
          <w:szCs w:val="22"/>
        </w:rPr>
      </w:pPr>
    </w:p>
    <w:p w:rsidR="00022D18" w:rsidRDefault="00CF36BB">
      <w:pPr>
        <w:numPr>
          <w:ilvl w:val="0"/>
          <w:numId w:val="3"/>
        </w:numPr>
        <w:tabs>
          <w:tab w:val="clear" w:pos="720"/>
          <w:tab w:val="num" w:pos="753"/>
        </w:tabs>
        <w:ind w:left="753" w:hanging="393"/>
        <w:rPr>
          <w:rFonts w:ascii="Trebuchet MS" w:eastAsia="Trebuchet MS" w:hAnsi="Trebuchet MS" w:cs="Trebuchet MS"/>
          <w:b/>
          <w:bCs/>
          <w:i/>
          <w:iCs/>
          <w:color w:val="00B050"/>
          <w:u w:color="00B050"/>
        </w:rPr>
      </w:pPr>
      <w:r>
        <w:rPr>
          <w:rFonts w:ascii="Calibri" w:eastAsia="Calibri" w:hAnsi="Calibri" w:cs="Calibri"/>
          <w:b/>
          <w:bCs/>
          <w:i/>
          <w:iCs/>
          <w:color w:val="00B050"/>
          <w:sz w:val="22"/>
          <w:szCs w:val="22"/>
          <w:u w:color="00B050"/>
        </w:rPr>
        <w:t>S</w:t>
      </w:r>
      <w:r w:rsidR="00034AB9">
        <w:rPr>
          <w:rFonts w:ascii="Calibri" w:eastAsia="Calibri" w:hAnsi="Calibri" w:cs="Calibri"/>
          <w:b/>
          <w:bCs/>
          <w:i/>
          <w:iCs/>
          <w:color w:val="00B050"/>
          <w:sz w:val="22"/>
          <w:szCs w:val="22"/>
          <w:u w:color="00B050"/>
        </w:rPr>
        <w:t xml:space="preserve">teps up </w:t>
      </w:r>
      <w:r>
        <w:rPr>
          <w:rFonts w:ascii="Calibri" w:eastAsia="Calibri" w:hAnsi="Calibri" w:cs="Calibri"/>
          <w:b/>
          <w:bCs/>
          <w:i/>
          <w:iCs/>
          <w:color w:val="00B050"/>
          <w:sz w:val="22"/>
          <w:szCs w:val="22"/>
          <w:u w:color="00B050"/>
        </w:rPr>
        <w:t xml:space="preserve">ambition </w:t>
      </w:r>
      <w:r w:rsidR="00034AB9">
        <w:rPr>
          <w:rFonts w:ascii="Calibri" w:eastAsia="Calibri" w:hAnsi="Calibri" w:cs="Calibri"/>
          <w:b/>
          <w:bCs/>
          <w:i/>
          <w:iCs/>
          <w:color w:val="00B050"/>
          <w:sz w:val="22"/>
          <w:szCs w:val="22"/>
          <w:u w:color="00B050"/>
        </w:rPr>
        <w:t xml:space="preserve">in line with </w:t>
      </w:r>
      <w:r>
        <w:rPr>
          <w:rFonts w:ascii="Calibri" w:eastAsia="Calibri" w:hAnsi="Calibri" w:cs="Calibri"/>
          <w:b/>
          <w:bCs/>
          <w:i/>
          <w:iCs/>
          <w:color w:val="00B050"/>
          <w:sz w:val="22"/>
          <w:szCs w:val="22"/>
          <w:u w:color="00B050"/>
        </w:rPr>
        <w:t>the urgency to act</w:t>
      </w:r>
    </w:p>
    <w:p w:rsidR="00022D18" w:rsidRDefault="00022D18">
      <w:pPr>
        <w:rPr>
          <w:rFonts w:ascii="Calibri" w:eastAsia="Calibri" w:hAnsi="Calibri" w:cs="Calibri"/>
          <w:b/>
          <w:bCs/>
          <w:i/>
          <w:iCs/>
          <w:sz w:val="22"/>
          <w:szCs w:val="22"/>
        </w:rPr>
      </w:pPr>
    </w:p>
    <w:p w:rsidR="008D31F4" w:rsidRDefault="008D31F4" w:rsidP="008D31F4">
      <w:pPr>
        <w:pStyle w:val="Default"/>
        <w:rPr>
          <w:sz w:val="22"/>
          <w:szCs w:val="22"/>
        </w:rPr>
      </w:pPr>
      <w:r>
        <w:rPr>
          <w:sz w:val="22"/>
          <w:szCs w:val="22"/>
        </w:rPr>
        <w:t xml:space="preserve">According to the 5AR, global greenhouse gas emissions need to peak by 2015 at the latest, and need to be reduced by an annual rate of around 6% in order to maintain a likely chance of keeping the rise in global average temperature below 2°C. </w:t>
      </w:r>
      <w:hyperlink r:id="rId15" w:history="1">
        <w:r>
          <w:rPr>
            <w:rStyle w:val="Hyperlink1"/>
            <w:b/>
            <w:bCs/>
          </w:rPr>
          <w:t>The EU must be consistent with a linear reduction pathway</w:t>
        </w:r>
      </w:hyperlink>
      <w:r>
        <w:rPr>
          <w:b/>
          <w:bCs/>
          <w:sz w:val="22"/>
          <w:szCs w:val="22"/>
        </w:rPr>
        <w:t xml:space="preserve"> </w:t>
      </w:r>
      <w:r>
        <w:rPr>
          <w:b/>
          <w:bCs/>
          <w:sz w:val="22"/>
          <w:szCs w:val="22"/>
          <w:u w:val="single"/>
        </w:rPr>
        <w:t>to the objective to phase out carbon emissions by 2050 and therefore</w:t>
      </w:r>
      <w:r>
        <w:rPr>
          <w:sz w:val="22"/>
          <w:szCs w:val="22"/>
          <w:u w:val="single"/>
        </w:rPr>
        <w:t xml:space="preserve"> </w:t>
      </w:r>
      <w:hyperlink r:id="rId16" w:history="1">
        <w:r>
          <w:rPr>
            <w:rStyle w:val="Hyperlink1"/>
            <w:b/>
            <w:bCs/>
            <w:u w:val="single"/>
          </w:rPr>
          <w:t>increase its own 2030 climate target to 60 %</w:t>
        </w:r>
      </w:hyperlink>
      <w:r>
        <w:rPr>
          <w:rStyle w:val="Hyperlink1"/>
          <w:b/>
          <w:bCs/>
        </w:rPr>
        <w:t>.</w:t>
      </w:r>
      <w:r>
        <w:rPr>
          <w:b/>
          <w:bCs/>
          <w:sz w:val="22"/>
          <w:szCs w:val="22"/>
        </w:rPr>
        <w:t xml:space="preserve"> </w:t>
      </w:r>
      <w:r>
        <w:rPr>
          <w:sz w:val="22"/>
          <w:szCs w:val="22"/>
        </w:rPr>
        <w:t xml:space="preserve">Delaying actions will only increase costs and reduce options to limit the disastrous impacts of climate change. </w:t>
      </w:r>
      <w:r>
        <w:rPr>
          <w:b/>
          <w:bCs/>
          <w:sz w:val="22"/>
          <w:szCs w:val="22"/>
        </w:rPr>
        <w:t>Leading by doing</w:t>
      </w:r>
      <w:r>
        <w:rPr>
          <w:sz w:val="22"/>
          <w:szCs w:val="22"/>
        </w:rPr>
        <w:t xml:space="preserve"> is the only way EU will encourage all countries to contribute in a sufficient manner. </w:t>
      </w:r>
    </w:p>
    <w:p w:rsidR="00022D18" w:rsidRPr="008D31F4" w:rsidRDefault="00022D18">
      <w:pPr>
        <w:rPr>
          <w:rFonts w:ascii="Calibri" w:eastAsia="Calibri" w:hAnsi="Calibri" w:cs="Calibri"/>
          <w:b/>
          <w:bCs/>
          <w:i/>
          <w:iCs/>
          <w:sz w:val="22"/>
          <w:szCs w:val="22"/>
          <w:lang w:val="en-GB"/>
        </w:rPr>
      </w:pPr>
      <w:bookmarkStart w:id="0" w:name="_GoBack"/>
      <w:bookmarkEnd w:id="0"/>
    </w:p>
    <w:p w:rsidR="00034AB9" w:rsidRDefault="00034AB9" w:rsidP="00034AB9">
      <w:pPr>
        <w:rPr>
          <w:rFonts w:ascii="Calibri" w:eastAsia="Calibri" w:hAnsi="Calibri" w:cs="Calibri"/>
          <w:sz w:val="22"/>
          <w:szCs w:val="22"/>
        </w:rPr>
      </w:pPr>
    </w:p>
    <w:p w:rsidR="00034AB9" w:rsidRDefault="00B568A6" w:rsidP="00034AB9">
      <w:pPr>
        <w:numPr>
          <w:ilvl w:val="0"/>
          <w:numId w:val="12"/>
        </w:numPr>
        <w:tabs>
          <w:tab w:val="clear" w:pos="720"/>
          <w:tab w:val="num" w:pos="753"/>
        </w:tabs>
        <w:ind w:left="753" w:hanging="393"/>
        <w:rPr>
          <w:rFonts w:ascii="Trebuchet MS" w:eastAsia="Trebuchet MS" w:hAnsi="Trebuchet MS" w:cs="Trebuchet MS"/>
          <w:b/>
          <w:bCs/>
          <w:i/>
          <w:iCs/>
          <w:color w:val="00B050"/>
          <w:u w:color="00B050"/>
        </w:rPr>
      </w:pPr>
      <w:r>
        <w:rPr>
          <w:rFonts w:ascii="Calibri" w:eastAsia="Calibri" w:hAnsi="Calibri" w:cs="Calibri"/>
          <w:b/>
          <w:bCs/>
          <w:i/>
          <w:iCs/>
          <w:color w:val="00B050"/>
          <w:sz w:val="22"/>
          <w:szCs w:val="22"/>
          <w:u w:color="00B050"/>
        </w:rPr>
        <w:t xml:space="preserve">Commits to </w:t>
      </w:r>
      <w:r w:rsidR="00034AB9">
        <w:rPr>
          <w:rFonts w:ascii="Calibri" w:eastAsia="Calibri" w:hAnsi="Calibri" w:cs="Calibri"/>
          <w:b/>
          <w:bCs/>
          <w:i/>
          <w:iCs/>
          <w:color w:val="00B050"/>
          <w:sz w:val="22"/>
          <w:szCs w:val="22"/>
          <w:u w:color="00B050"/>
        </w:rPr>
        <w:t xml:space="preserve"> more emissions reduction before 2020</w:t>
      </w:r>
    </w:p>
    <w:p w:rsidR="00034AB9" w:rsidRDefault="00034AB9" w:rsidP="00034AB9">
      <w:pPr>
        <w:rPr>
          <w:rFonts w:ascii="Calibri" w:eastAsia="Calibri" w:hAnsi="Calibri" w:cs="Calibri"/>
          <w:sz w:val="22"/>
          <w:szCs w:val="22"/>
        </w:rPr>
      </w:pPr>
    </w:p>
    <w:p w:rsidR="00034AB9" w:rsidRDefault="00034AB9" w:rsidP="00034AB9">
      <w:pPr>
        <w:rPr>
          <w:rFonts w:ascii="Calibri" w:eastAsia="Calibri" w:hAnsi="Calibri" w:cs="Calibri"/>
          <w:sz w:val="22"/>
          <w:szCs w:val="22"/>
        </w:rPr>
      </w:pPr>
      <w:r>
        <w:rPr>
          <w:rFonts w:ascii="Calibri" w:eastAsia="Calibri" w:hAnsi="Calibri" w:cs="Calibri"/>
          <w:sz w:val="22"/>
          <w:szCs w:val="22"/>
        </w:rPr>
        <w:t xml:space="preserve">There is an urgent need to close </w:t>
      </w:r>
      <w:hyperlink r:id="rId17" w:history="1">
        <w:r>
          <w:rPr>
            <w:rStyle w:val="Hyperlink0"/>
          </w:rPr>
          <w:t>the '</w:t>
        </w:r>
        <w:proofErr w:type="spellStart"/>
        <w:r>
          <w:rPr>
            <w:rStyle w:val="Hyperlink0"/>
          </w:rPr>
          <w:t>gigatonne</w:t>
        </w:r>
        <w:proofErr w:type="spellEnd"/>
        <w:r>
          <w:rPr>
            <w:rStyle w:val="Hyperlink0"/>
          </w:rPr>
          <w:t xml:space="preserve"> gap'</w:t>
        </w:r>
      </w:hyperlink>
      <w:r>
        <w:rPr>
          <w:rFonts w:ascii="Calibri" w:eastAsia="Calibri" w:hAnsi="Calibri" w:cs="Calibri"/>
          <w:sz w:val="22"/>
          <w:szCs w:val="22"/>
        </w:rPr>
        <w:t xml:space="preserve"> between current </w:t>
      </w:r>
      <w:r w:rsidR="00B568A6">
        <w:rPr>
          <w:rFonts w:ascii="Calibri" w:eastAsia="Calibri" w:hAnsi="Calibri" w:cs="Calibri"/>
          <w:sz w:val="22"/>
          <w:szCs w:val="22"/>
        </w:rPr>
        <w:t xml:space="preserve">2020 emission reduction </w:t>
      </w:r>
      <w:r>
        <w:rPr>
          <w:rFonts w:ascii="Calibri" w:eastAsia="Calibri" w:hAnsi="Calibri" w:cs="Calibri"/>
          <w:sz w:val="22"/>
          <w:szCs w:val="22"/>
        </w:rPr>
        <w:t>pledges</w:t>
      </w:r>
      <w:r w:rsidR="00B568A6">
        <w:rPr>
          <w:rFonts w:ascii="Calibri" w:eastAsia="Calibri" w:hAnsi="Calibri" w:cs="Calibri"/>
          <w:sz w:val="22"/>
          <w:szCs w:val="22"/>
        </w:rPr>
        <w:t xml:space="preserve"> and a safe 2°C consistent emission pathway</w:t>
      </w:r>
      <w:r>
        <w:rPr>
          <w:rFonts w:ascii="Calibri" w:eastAsia="Calibri" w:hAnsi="Calibri" w:cs="Calibri"/>
          <w:sz w:val="22"/>
          <w:szCs w:val="22"/>
        </w:rPr>
        <w:t xml:space="preserve">. The EU is on a trajectory to </w:t>
      </w:r>
      <w:proofErr w:type="gramStart"/>
      <w:r>
        <w:rPr>
          <w:rFonts w:ascii="Calibri" w:eastAsia="Calibri" w:hAnsi="Calibri" w:cs="Calibri"/>
          <w:sz w:val="22"/>
          <w:szCs w:val="22"/>
        </w:rPr>
        <w:t>overachieve</w:t>
      </w:r>
      <w:proofErr w:type="gramEnd"/>
      <w:r>
        <w:rPr>
          <w:rFonts w:ascii="Calibri" w:eastAsia="Calibri" w:hAnsi="Calibri" w:cs="Calibri"/>
          <w:sz w:val="22"/>
          <w:szCs w:val="22"/>
        </w:rPr>
        <w:t xml:space="preserve"> its </w:t>
      </w:r>
      <w:r w:rsidR="005C5DA6">
        <w:rPr>
          <w:rFonts w:ascii="Calibri" w:eastAsia="Calibri" w:hAnsi="Calibri" w:cs="Calibri"/>
          <w:sz w:val="22"/>
          <w:szCs w:val="22"/>
        </w:rPr>
        <w:t xml:space="preserve">Kyoto Protocol (KP) </w:t>
      </w:r>
      <w:r>
        <w:rPr>
          <w:rFonts w:ascii="Calibri" w:eastAsia="Calibri" w:hAnsi="Calibri" w:cs="Calibri"/>
          <w:sz w:val="22"/>
          <w:szCs w:val="22"/>
        </w:rPr>
        <w:t xml:space="preserve">2020 target without further measures and </w:t>
      </w:r>
      <w:r w:rsidR="00B568A6">
        <w:rPr>
          <w:rFonts w:ascii="Calibri" w:eastAsia="Calibri" w:hAnsi="Calibri" w:cs="Calibri"/>
          <w:sz w:val="22"/>
          <w:szCs w:val="22"/>
        </w:rPr>
        <w:t xml:space="preserve">can to do more. </w:t>
      </w:r>
      <w:r w:rsidR="005C5DA6">
        <w:rPr>
          <w:rFonts w:ascii="Calibri" w:eastAsia="Calibri" w:hAnsi="Calibri" w:cs="Calibri"/>
          <w:sz w:val="22"/>
          <w:szCs w:val="22"/>
        </w:rPr>
        <w:t>T</w:t>
      </w:r>
      <w:r w:rsidR="00B568A6">
        <w:rPr>
          <w:rFonts w:ascii="Calibri" w:eastAsia="Calibri" w:hAnsi="Calibri" w:cs="Calibri"/>
          <w:sz w:val="22"/>
          <w:szCs w:val="22"/>
        </w:rPr>
        <w:t xml:space="preserve">he </w:t>
      </w:r>
      <w:r>
        <w:rPr>
          <w:rFonts w:ascii="Calibri" w:eastAsia="Calibri" w:hAnsi="Calibri" w:cs="Calibri"/>
          <w:sz w:val="22"/>
          <w:szCs w:val="22"/>
        </w:rPr>
        <w:t xml:space="preserve">EU should </w:t>
      </w:r>
      <w:r w:rsidR="005C5DA6">
        <w:rPr>
          <w:rFonts w:ascii="Calibri" w:eastAsia="Calibri" w:hAnsi="Calibri" w:cs="Calibri"/>
          <w:sz w:val="22"/>
          <w:szCs w:val="22"/>
        </w:rPr>
        <w:t xml:space="preserve">at least </w:t>
      </w:r>
      <w:r w:rsidR="00B568A6">
        <w:rPr>
          <w:rFonts w:ascii="Calibri" w:eastAsia="Calibri" w:hAnsi="Calibri" w:cs="Calibri"/>
          <w:sz w:val="22"/>
          <w:szCs w:val="22"/>
        </w:rPr>
        <w:t xml:space="preserve">revise </w:t>
      </w:r>
      <w:r>
        <w:rPr>
          <w:rFonts w:ascii="Calibri" w:eastAsia="Calibri" w:hAnsi="Calibri" w:cs="Calibri"/>
          <w:sz w:val="22"/>
          <w:szCs w:val="22"/>
        </w:rPr>
        <w:t xml:space="preserve">its KP </w:t>
      </w:r>
      <w:r w:rsidR="005C5DA6">
        <w:rPr>
          <w:rFonts w:ascii="Calibri" w:eastAsia="Calibri" w:hAnsi="Calibri" w:cs="Calibri"/>
          <w:sz w:val="22"/>
          <w:szCs w:val="22"/>
        </w:rPr>
        <w:t xml:space="preserve">2020 </w:t>
      </w:r>
      <w:r>
        <w:rPr>
          <w:rFonts w:ascii="Calibri" w:eastAsia="Calibri" w:hAnsi="Calibri" w:cs="Calibri"/>
          <w:sz w:val="22"/>
          <w:szCs w:val="22"/>
        </w:rPr>
        <w:t xml:space="preserve">target </w:t>
      </w:r>
      <w:r w:rsidR="005C5DA6">
        <w:rPr>
          <w:rFonts w:ascii="Calibri" w:eastAsia="Calibri" w:hAnsi="Calibri" w:cs="Calibri"/>
          <w:sz w:val="22"/>
          <w:szCs w:val="22"/>
        </w:rPr>
        <w:t>t</w:t>
      </w:r>
      <w:r w:rsidR="00B568A6">
        <w:rPr>
          <w:rFonts w:ascii="Calibri" w:eastAsia="Calibri" w:hAnsi="Calibri" w:cs="Calibri"/>
          <w:sz w:val="22"/>
          <w:szCs w:val="22"/>
        </w:rPr>
        <w:t xml:space="preserve">o </w:t>
      </w:r>
      <w:r>
        <w:rPr>
          <w:rFonts w:ascii="Calibri" w:eastAsia="Calibri" w:hAnsi="Calibri" w:cs="Calibri"/>
          <w:sz w:val="22"/>
          <w:szCs w:val="22"/>
        </w:rPr>
        <w:t>a level consistent with a cost-effective path to 2050</w:t>
      </w:r>
      <w:r w:rsidR="00B568A6" w:rsidRPr="00B568A6">
        <w:rPr>
          <w:rFonts w:ascii="Calibri" w:eastAsia="Calibri" w:hAnsi="Calibri" w:cs="Calibri"/>
          <w:sz w:val="22"/>
          <w:szCs w:val="22"/>
        </w:rPr>
        <w:t xml:space="preserve"> </w:t>
      </w:r>
      <w:r w:rsidR="00B568A6">
        <w:rPr>
          <w:rFonts w:ascii="Calibri" w:eastAsia="Calibri" w:hAnsi="Calibri" w:cs="Calibri"/>
          <w:sz w:val="22"/>
          <w:szCs w:val="22"/>
        </w:rPr>
        <w:t xml:space="preserve">and ensure that </w:t>
      </w:r>
      <w:r w:rsidR="005C5DA6">
        <w:rPr>
          <w:rFonts w:ascii="Calibri" w:eastAsia="Calibri" w:hAnsi="Calibri" w:cs="Calibri"/>
          <w:sz w:val="22"/>
          <w:szCs w:val="22"/>
        </w:rPr>
        <w:t xml:space="preserve">any </w:t>
      </w:r>
      <w:r w:rsidR="00B568A6">
        <w:rPr>
          <w:rFonts w:ascii="Calibri" w:eastAsia="Calibri" w:hAnsi="Calibri" w:cs="Calibri"/>
          <w:sz w:val="22"/>
          <w:szCs w:val="22"/>
        </w:rPr>
        <w:t xml:space="preserve">over-achievement </w:t>
      </w:r>
      <w:r w:rsidR="005C5DA6">
        <w:rPr>
          <w:rFonts w:ascii="Calibri" w:eastAsia="Calibri" w:hAnsi="Calibri" w:cs="Calibri"/>
          <w:sz w:val="22"/>
          <w:szCs w:val="22"/>
        </w:rPr>
        <w:t xml:space="preserve">of </w:t>
      </w:r>
      <w:r w:rsidR="00B568A6">
        <w:rPr>
          <w:rFonts w:ascii="Calibri" w:eastAsia="Calibri" w:hAnsi="Calibri" w:cs="Calibri"/>
          <w:sz w:val="22"/>
          <w:szCs w:val="22"/>
        </w:rPr>
        <w:t>KP 2020 targets are not allowed to water down future commitments</w:t>
      </w:r>
      <w:r>
        <w:rPr>
          <w:rFonts w:ascii="Calibri" w:eastAsia="Calibri" w:hAnsi="Calibri" w:cs="Calibri"/>
          <w:sz w:val="22"/>
          <w:szCs w:val="22"/>
        </w:rPr>
        <w:t xml:space="preserve">. The </w:t>
      </w:r>
      <w:r>
        <w:rPr>
          <w:rFonts w:ascii="Calibri" w:eastAsia="Calibri" w:hAnsi="Calibri" w:cs="Calibri"/>
          <w:sz w:val="22"/>
          <w:szCs w:val="22"/>
        </w:rPr>
        <w:lastRenderedPageBreak/>
        <w:t xml:space="preserve">EU and other Parties to the </w:t>
      </w:r>
      <w:hyperlink r:id="rId18" w:history="1">
        <w:r>
          <w:rPr>
            <w:rStyle w:val="Hyperlink2"/>
          </w:rPr>
          <w:t>Montreal Protocol</w:t>
        </w:r>
      </w:hyperlink>
      <w:r>
        <w:rPr>
          <w:rFonts w:ascii="Calibri" w:eastAsia="Calibri" w:hAnsi="Calibri" w:cs="Calibri"/>
          <w:sz w:val="22"/>
          <w:szCs w:val="22"/>
        </w:rPr>
        <w:t xml:space="preserve"> should </w:t>
      </w:r>
      <w:r w:rsidR="00B568A6">
        <w:rPr>
          <w:rFonts w:ascii="Calibri" w:eastAsia="Calibri" w:hAnsi="Calibri" w:cs="Calibri"/>
          <w:sz w:val="22"/>
          <w:szCs w:val="22"/>
        </w:rPr>
        <w:t>make</w:t>
      </w:r>
      <w:r w:rsidR="005C5DA6">
        <w:rPr>
          <w:rFonts w:ascii="Calibri" w:eastAsia="Calibri" w:hAnsi="Calibri" w:cs="Calibri"/>
          <w:sz w:val="22"/>
          <w:szCs w:val="22"/>
        </w:rPr>
        <w:t xml:space="preserve"> efficient</w:t>
      </w:r>
      <w:r w:rsidR="00B568A6">
        <w:rPr>
          <w:rFonts w:ascii="Calibri" w:eastAsia="Calibri" w:hAnsi="Calibri" w:cs="Calibri"/>
          <w:sz w:val="22"/>
          <w:szCs w:val="22"/>
        </w:rPr>
        <w:t xml:space="preserve"> use of its instruments and agree urgently a</w:t>
      </w:r>
      <w:r w:rsidR="00B568A6" w:rsidRPr="005C5DA6">
        <w:rPr>
          <w:rFonts w:ascii="Calibri" w:eastAsia="Calibri" w:hAnsi="Calibri" w:cs="Calibri"/>
          <w:b/>
          <w:sz w:val="22"/>
          <w:szCs w:val="22"/>
        </w:rPr>
        <w:t xml:space="preserve"> global HFC phase-down</w:t>
      </w:r>
      <w:r>
        <w:rPr>
          <w:rFonts w:ascii="Calibri" w:eastAsia="Calibri" w:hAnsi="Calibri" w:cs="Calibri"/>
          <w:sz w:val="22"/>
          <w:szCs w:val="22"/>
        </w:rPr>
        <w:t xml:space="preserve"> to con</w:t>
      </w:r>
      <w:r w:rsidR="00B568A6">
        <w:rPr>
          <w:rFonts w:ascii="Calibri" w:eastAsia="Calibri" w:hAnsi="Calibri" w:cs="Calibri"/>
          <w:sz w:val="22"/>
          <w:szCs w:val="22"/>
        </w:rPr>
        <w:t>tribute to climate mitigation</w:t>
      </w:r>
      <w:r>
        <w:rPr>
          <w:rFonts w:ascii="Calibri" w:eastAsia="Calibri" w:hAnsi="Calibri" w:cs="Calibri"/>
          <w:sz w:val="22"/>
          <w:szCs w:val="22"/>
        </w:rPr>
        <w:t>.</w:t>
      </w:r>
    </w:p>
    <w:p w:rsidR="00022D18" w:rsidRDefault="00022D18">
      <w:pPr>
        <w:rPr>
          <w:rFonts w:ascii="Calibri" w:eastAsia="Calibri" w:hAnsi="Calibri" w:cs="Calibri"/>
          <w:b/>
          <w:bCs/>
          <w:i/>
          <w:iCs/>
          <w:sz w:val="22"/>
          <w:szCs w:val="22"/>
        </w:rPr>
      </w:pPr>
    </w:p>
    <w:p w:rsidR="005C5DA6" w:rsidRDefault="005C5DA6">
      <w:pPr>
        <w:rPr>
          <w:rFonts w:ascii="Calibri" w:eastAsia="Calibri" w:hAnsi="Calibri" w:cs="Calibri"/>
          <w:b/>
          <w:bCs/>
          <w:i/>
          <w:iCs/>
          <w:sz w:val="22"/>
          <w:szCs w:val="22"/>
        </w:rPr>
      </w:pPr>
    </w:p>
    <w:p w:rsidR="00022D18" w:rsidRDefault="00CF36BB">
      <w:pPr>
        <w:numPr>
          <w:ilvl w:val="0"/>
          <w:numId w:val="6"/>
        </w:numPr>
        <w:tabs>
          <w:tab w:val="clear" w:pos="720"/>
          <w:tab w:val="num" w:pos="753"/>
        </w:tabs>
        <w:ind w:left="753" w:hanging="393"/>
        <w:rPr>
          <w:rFonts w:ascii="Trebuchet MS" w:eastAsia="Trebuchet MS" w:hAnsi="Trebuchet MS" w:cs="Trebuchet MS"/>
          <w:b/>
          <w:bCs/>
          <w:i/>
          <w:iCs/>
          <w:color w:val="00B050"/>
          <w:u w:color="00B050"/>
        </w:rPr>
      </w:pPr>
      <w:r>
        <w:rPr>
          <w:rFonts w:ascii="Calibri" w:eastAsia="Calibri" w:hAnsi="Calibri" w:cs="Calibri"/>
          <w:b/>
          <w:bCs/>
          <w:i/>
          <w:iCs/>
          <w:color w:val="00B050"/>
          <w:sz w:val="22"/>
          <w:szCs w:val="22"/>
        </w:rPr>
        <w:t>Ensures</w:t>
      </w:r>
      <w:r>
        <w:rPr>
          <w:rFonts w:ascii="Calibri" w:eastAsia="Calibri" w:hAnsi="Calibri" w:cs="Calibri"/>
          <w:b/>
          <w:bCs/>
          <w:i/>
          <w:iCs/>
          <w:color w:val="00B050"/>
          <w:sz w:val="22"/>
          <w:szCs w:val="22"/>
          <w:u w:color="00B050"/>
        </w:rPr>
        <w:t xml:space="preserve"> </w:t>
      </w:r>
      <w:r w:rsidR="00034AB9">
        <w:rPr>
          <w:rFonts w:ascii="Calibri" w:eastAsia="Calibri" w:hAnsi="Calibri" w:cs="Calibri"/>
          <w:b/>
          <w:bCs/>
          <w:i/>
          <w:iCs/>
          <w:color w:val="00B050"/>
          <w:sz w:val="22"/>
          <w:szCs w:val="22"/>
          <w:u w:color="00B050"/>
        </w:rPr>
        <w:t>key decisions</w:t>
      </w:r>
      <w:r>
        <w:rPr>
          <w:rFonts w:ascii="Calibri" w:eastAsia="Calibri" w:hAnsi="Calibri" w:cs="Calibri"/>
          <w:b/>
          <w:bCs/>
          <w:i/>
          <w:iCs/>
          <w:color w:val="00B050"/>
          <w:sz w:val="22"/>
          <w:szCs w:val="22"/>
          <w:u w:color="00B050"/>
        </w:rPr>
        <w:t xml:space="preserve"> towards Paris 2015 Agreement</w:t>
      </w:r>
      <w:r w:rsidR="00034AB9">
        <w:rPr>
          <w:rFonts w:ascii="Calibri" w:eastAsia="Calibri" w:hAnsi="Calibri" w:cs="Calibri"/>
          <w:b/>
          <w:bCs/>
          <w:i/>
          <w:iCs/>
          <w:color w:val="00B050"/>
          <w:sz w:val="22"/>
          <w:szCs w:val="22"/>
          <w:u w:color="00B050"/>
        </w:rPr>
        <w:t xml:space="preserve"> are taken </w:t>
      </w:r>
    </w:p>
    <w:p w:rsidR="00022D18" w:rsidRDefault="00022D18">
      <w:pPr>
        <w:rPr>
          <w:rFonts w:ascii="Calibri" w:eastAsia="Calibri" w:hAnsi="Calibri" w:cs="Calibri"/>
          <w:b/>
          <w:bCs/>
          <w:i/>
          <w:iCs/>
          <w:sz w:val="22"/>
          <w:szCs w:val="22"/>
        </w:rPr>
      </w:pPr>
    </w:p>
    <w:p w:rsidR="00034AB9" w:rsidRDefault="00340EC6">
      <w:pPr>
        <w:rPr>
          <w:rFonts w:ascii="Calibri" w:eastAsia="Calibri" w:hAnsi="Calibri" w:cs="Calibri"/>
          <w:sz w:val="22"/>
          <w:szCs w:val="22"/>
        </w:rPr>
      </w:pPr>
      <w:hyperlink r:id="rId19" w:history="1">
        <w:r w:rsidR="00CF36BB">
          <w:rPr>
            <w:rStyle w:val="Hyperlink0"/>
          </w:rPr>
          <w:t>Last year at the COP 19 in Warsaw</w:t>
        </w:r>
      </w:hyperlink>
      <w:r w:rsidR="00CF36BB">
        <w:rPr>
          <w:rFonts w:ascii="Calibri" w:eastAsia="Calibri" w:hAnsi="Calibri" w:cs="Calibri"/>
          <w:sz w:val="22"/>
          <w:szCs w:val="22"/>
        </w:rPr>
        <w:t xml:space="preserve"> countries agreed to put forward their </w:t>
      </w:r>
      <w:hyperlink r:id="rId20" w:history="1">
        <w:r w:rsidR="00CF36BB">
          <w:rPr>
            <w:rStyle w:val="Hyperlink0"/>
          </w:rPr>
          <w:t>Intended Nationally Determined Contributions - INDCs</w:t>
        </w:r>
      </w:hyperlink>
      <w:r w:rsidR="00CF36BB">
        <w:rPr>
          <w:rFonts w:ascii="Calibri" w:eastAsia="Calibri" w:hAnsi="Calibri" w:cs="Calibri"/>
          <w:sz w:val="22"/>
          <w:szCs w:val="22"/>
        </w:rPr>
        <w:t xml:space="preserve">) for climate action after 2020 well in advance of the COP21 (Paris, December 2015) in a clear and transparent way. </w:t>
      </w:r>
      <w:r w:rsidR="00CF36BB" w:rsidRPr="005C5DA6">
        <w:rPr>
          <w:rFonts w:ascii="Calibri" w:eastAsia="Calibri" w:hAnsi="Calibri" w:cs="Calibri"/>
          <w:b/>
          <w:sz w:val="22"/>
          <w:szCs w:val="22"/>
        </w:rPr>
        <w:t xml:space="preserve">The </w:t>
      </w:r>
      <w:r w:rsidR="00034AB9" w:rsidRPr="005C5DA6">
        <w:rPr>
          <w:rFonts w:ascii="Calibri" w:eastAsia="Calibri" w:hAnsi="Calibri" w:cs="Calibri"/>
          <w:b/>
          <w:sz w:val="22"/>
          <w:szCs w:val="22"/>
        </w:rPr>
        <w:t xml:space="preserve">Lima </w:t>
      </w:r>
      <w:r w:rsidR="00CF36BB" w:rsidRPr="005C5DA6">
        <w:rPr>
          <w:rFonts w:ascii="Calibri" w:eastAsia="Calibri" w:hAnsi="Calibri" w:cs="Calibri"/>
          <w:b/>
          <w:sz w:val="22"/>
          <w:szCs w:val="22"/>
        </w:rPr>
        <w:t xml:space="preserve">COP needs to agree on the parameters of the INDCs </w:t>
      </w:r>
      <w:r w:rsidR="00CF36BB">
        <w:rPr>
          <w:rFonts w:ascii="Calibri" w:eastAsia="Calibri" w:hAnsi="Calibri" w:cs="Calibri"/>
          <w:sz w:val="22"/>
          <w:szCs w:val="22"/>
        </w:rPr>
        <w:t>in order to ensure th</w:t>
      </w:r>
      <w:r w:rsidR="00034AB9">
        <w:rPr>
          <w:rFonts w:ascii="Calibri" w:eastAsia="Calibri" w:hAnsi="Calibri" w:cs="Calibri"/>
          <w:sz w:val="22"/>
          <w:szCs w:val="22"/>
        </w:rPr>
        <w:t xml:space="preserve">at the intended contributions </w:t>
      </w:r>
      <w:r w:rsidR="00CF36BB">
        <w:rPr>
          <w:rFonts w:ascii="Calibri" w:eastAsia="Calibri" w:hAnsi="Calibri" w:cs="Calibri"/>
          <w:sz w:val="22"/>
          <w:szCs w:val="22"/>
        </w:rPr>
        <w:t xml:space="preserve">are </w:t>
      </w:r>
      <w:r w:rsidR="00CF36BB" w:rsidRPr="005C5DA6">
        <w:rPr>
          <w:rFonts w:ascii="Calibri" w:eastAsia="Calibri" w:hAnsi="Calibri" w:cs="Calibri"/>
          <w:b/>
          <w:sz w:val="22"/>
          <w:szCs w:val="22"/>
        </w:rPr>
        <w:t>transparent and quantifiable</w:t>
      </w:r>
      <w:r w:rsidR="00CF36BB">
        <w:rPr>
          <w:rFonts w:ascii="Calibri" w:eastAsia="Calibri" w:hAnsi="Calibri" w:cs="Calibri"/>
          <w:sz w:val="22"/>
          <w:szCs w:val="22"/>
        </w:rPr>
        <w:t>, and</w:t>
      </w:r>
      <w:r w:rsidR="00034AB9">
        <w:rPr>
          <w:rFonts w:ascii="Calibri" w:eastAsia="Calibri" w:hAnsi="Calibri" w:cs="Calibri"/>
          <w:sz w:val="22"/>
          <w:szCs w:val="22"/>
        </w:rPr>
        <w:t xml:space="preserve"> must</w:t>
      </w:r>
      <w:r w:rsidR="00CF36BB">
        <w:rPr>
          <w:rFonts w:ascii="Calibri" w:eastAsia="Calibri" w:hAnsi="Calibri" w:cs="Calibri"/>
          <w:sz w:val="22"/>
          <w:szCs w:val="22"/>
        </w:rPr>
        <w:t xml:space="preserve"> set up a </w:t>
      </w:r>
      <w:r w:rsidR="00CF36BB" w:rsidRPr="005C5DA6">
        <w:rPr>
          <w:rFonts w:ascii="Calibri" w:eastAsia="Calibri" w:hAnsi="Calibri" w:cs="Calibri"/>
          <w:b/>
          <w:sz w:val="22"/>
          <w:szCs w:val="22"/>
        </w:rPr>
        <w:t>process to assess the adequacy and equitability of th</w:t>
      </w:r>
      <w:r w:rsidR="00034AB9" w:rsidRPr="005C5DA6">
        <w:rPr>
          <w:rFonts w:ascii="Calibri" w:eastAsia="Calibri" w:hAnsi="Calibri" w:cs="Calibri"/>
          <w:b/>
          <w:sz w:val="22"/>
          <w:szCs w:val="22"/>
        </w:rPr>
        <w:t xml:space="preserve">ose </w:t>
      </w:r>
      <w:r w:rsidR="00CF36BB" w:rsidRPr="005C5DA6">
        <w:rPr>
          <w:rFonts w:ascii="Calibri" w:eastAsia="Calibri" w:hAnsi="Calibri" w:cs="Calibri"/>
          <w:b/>
          <w:sz w:val="22"/>
          <w:szCs w:val="22"/>
        </w:rPr>
        <w:t>commitments</w:t>
      </w:r>
      <w:r w:rsidR="00CF36BB">
        <w:rPr>
          <w:rFonts w:ascii="Calibri" w:eastAsia="Calibri" w:hAnsi="Calibri" w:cs="Calibri"/>
          <w:sz w:val="22"/>
          <w:szCs w:val="22"/>
        </w:rPr>
        <w:t xml:space="preserve">. </w:t>
      </w:r>
    </w:p>
    <w:p w:rsidR="00022D18" w:rsidRDefault="00022D18">
      <w:pPr>
        <w:rPr>
          <w:rFonts w:ascii="Calibri" w:eastAsia="Calibri" w:hAnsi="Calibri" w:cs="Calibri"/>
          <w:sz w:val="22"/>
          <w:szCs w:val="22"/>
        </w:rPr>
      </w:pPr>
    </w:p>
    <w:p w:rsidR="00034AB9" w:rsidRDefault="00034AB9" w:rsidP="00034AB9">
      <w:pPr>
        <w:rPr>
          <w:rFonts w:ascii="Calibri" w:eastAsia="Calibri" w:hAnsi="Calibri" w:cs="Calibri"/>
          <w:b/>
          <w:bCs/>
          <w:i/>
          <w:iCs/>
          <w:sz w:val="22"/>
          <w:szCs w:val="22"/>
        </w:rPr>
      </w:pPr>
    </w:p>
    <w:p w:rsidR="00034AB9" w:rsidRDefault="00034AB9" w:rsidP="00034AB9">
      <w:pPr>
        <w:numPr>
          <w:ilvl w:val="0"/>
          <w:numId w:val="15"/>
        </w:numPr>
        <w:tabs>
          <w:tab w:val="clear" w:pos="720"/>
          <w:tab w:val="num" w:pos="753"/>
        </w:tabs>
        <w:ind w:left="753" w:hanging="393"/>
        <w:rPr>
          <w:rFonts w:ascii="Trebuchet MS" w:eastAsia="Trebuchet MS" w:hAnsi="Trebuchet MS" w:cs="Trebuchet MS"/>
          <w:b/>
          <w:bCs/>
          <w:i/>
          <w:iCs/>
          <w:color w:val="00B050"/>
          <w:u w:color="00B050"/>
        </w:rPr>
      </w:pPr>
      <w:r>
        <w:rPr>
          <w:rFonts w:ascii="Calibri" w:eastAsia="Calibri" w:hAnsi="Calibri" w:cs="Calibri"/>
          <w:b/>
          <w:bCs/>
          <w:i/>
          <w:iCs/>
          <w:color w:val="00B050"/>
          <w:sz w:val="22"/>
          <w:szCs w:val="22"/>
          <w:u w:color="00B050"/>
        </w:rPr>
        <w:t>Increases the support to climate finance</w:t>
      </w:r>
    </w:p>
    <w:p w:rsidR="00034AB9" w:rsidRDefault="00034AB9" w:rsidP="00034AB9">
      <w:pPr>
        <w:rPr>
          <w:rFonts w:ascii="Calibri" w:eastAsia="Calibri" w:hAnsi="Calibri" w:cs="Calibri"/>
          <w:sz w:val="22"/>
          <w:szCs w:val="22"/>
        </w:rPr>
      </w:pPr>
    </w:p>
    <w:p w:rsidR="00384397" w:rsidRDefault="00B568A6" w:rsidP="00034AB9">
      <w:pPr>
        <w:rPr>
          <w:rFonts w:ascii="Calibri" w:eastAsia="Calibri" w:hAnsi="Calibri" w:cs="Calibri"/>
          <w:sz w:val="22"/>
          <w:szCs w:val="22"/>
        </w:rPr>
      </w:pPr>
      <w:r>
        <w:rPr>
          <w:rFonts w:ascii="Calibri" w:eastAsia="Calibri" w:hAnsi="Calibri" w:cs="Calibri"/>
          <w:b/>
          <w:bCs/>
          <w:sz w:val="22"/>
          <w:szCs w:val="22"/>
        </w:rPr>
        <w:t xml:space="preserve">The EU must </w:t>
      </w:r>
      <w:r w:rsidR="00384397">
        <w:rPr>
          <w:rFonts w:ascii="Calibri" w:eastAsia="Calibri" w:hAnsi="Calibri" w:cs="Calibri"/>
          <w:b/>
          <w:bCs/>
          <w:sz w:val="22"/>
          <w:szCs w:val="22"/>
        </w:rPr>
        <w:t xml:space="preserve">scale up its climate finance </w:t>
      </w:r>
      <w:r w:rsidR="00384397" w:rsidRPr="005C5DA6">
        <w:rPr>
          <w:rFonts w:ascii="Calibri" w:eastAsia="Calibri" w:hAnsi="Calibri" w:cs="Calibri"/>
          <w:bCs/>
          <w:sz w:val="22"/>
          <w:szCs w:val="22"/>
        </w:rPr>
        <w:t xml:space="preserve">towards </w:t>
      </w:r>
      <w:r w:rsidR="00034AB9" w:rsidRPr="005C5DA6">
        <w:rPr>
          <w:rFonts w:ascii="Calibri" w:eastAsia="Calibri" w:hAnsi="Calibri" w:cs="Calibri"/>
          <w:bCs/>
          <w:sz w:val="22"/>
          <w:szCs w:val="22"/>
        </w:rPr>
        <w:t>the Copenhagen Accord commitment</w:t>
      </w:r>
      <w:r w:rsidR="00034AB9" w:rsidRPr="005C5DA6">
        <w:rPr>
          <w:rFonts w:ascii="Calibri" w:eastAsia="Calibri" w:hAnsi="Calibri" w:cs="Calibri"/>
          <w:sz w:val="22"/>
          <w:szCs w:val="22"/>
        </w:rPr>
        <w:t xml:space="preserve"> </w:t>
      </w:r>
      <w:r w:rsidR="00384397" w:rsidRPr="005C5DA6">
        <w:rPr>
          <w:rFonts w:ascii="Calibri" w:eastAsia="Calibri" w:hAnsi="Calibri" w:cs="Calibri"/>
          <w:sz w:val="22"/>
          <w:szCs w:val="22"/>
        </w:rPr>
        <w:t xml:space="preserve">of </w:t>
      </w:r>
      <w:r w:rsidR="00034AB9" w:rsidRPr="005C5DA6">
        <w:rPr>
          <w:rFonts w:ascii="Calibri" w:eastAsia="Calibri" w:hAnsi="Calibri" w:cs="Calibri"/>
          <w:sz w:val="22"/>
          <w:szCs w:val="22"/>
        </w:rPr>
        <w:t xml:space="preserve">USD 100 </w:t>
      </w:r>
      <w:r w:rsidR="00034AB9">
        <w:rPr>
          <w:rFonts w:ascii="Calibri" w:eastAsia="Calibri" w:hAnsi="Calibri" w:cs="Calibri"/>
          <w:sz w:val="22"/>
          <w:szCs w:val="22"/>
        </w:rPr>
        <w:t>billion per year by 2020 for</w:t>
      </w:r>
      <w:r>
        <w:rPr>
          <w:rFonts w:ascii="Calibri" w:eastAsia="Calibri" w:hAnsi="Calibri" w:cs="Calibri"/>
          <w:sz w:val="22"/>
          <w:szCs w:val="22"/>
        </w:rPr>
        <w:t xml:space="preserve"> climate action in developing countries. </w:t>
      </w:r>
      <w:r w:rsidR="00384397">
        <w:rPr>
          <w:rFonts w:ascii="Calibri" w:eastAsia="Calibri" w:hAnsi="Calibri" w:cs="Calibri"/>
          <w:sz w:val="22"/>
          <w:szCs w:val="22"/>
        </w:rPr>
        <w:t xml:space="preserve">The </w:t>
      </w:r>
      <w:r w:rsidR="00384397" w:rsidRPr="00384397">
        <w:rPr>
          <w:rFonts w:ascii="Calibri" w:eastAsia="Calibri" w:hAnsi="Calibri" w:cs="Calibri"/>
          <w:sz w:val="22"/>
          <w:szCs w:val="22"/>
          <w:lang w:val="en-GB"/>
        </w:rPr>
        <w:t xml:space="preserve">EU should make proposals for </w:t>
      </w:r>
      <w:r w:rsidR="00384397" w:rsidRPr="005C5DA6">
        <w:rPr>
          <w:rFonts w:ascii="Calibri" w:eastAsia="Calibri" w:hAnsi="Calibri" w:cs="Calibri"/>
          <w:b/>
          <w:sz w:val="22"/>
          <w:szCs w:val="22"/>
          <w:lang w:val="en-GB"/>
        </w:rPr>
        <w:t>adequate and predictable international climate finance for the</w:t>
      </w:r>
      <w:r w:rsidR="00384397" w:rsidRPr="00384397">
        <w:rPr>
          <w:rFonts w:ascii="Calibri" w:eastAsia="Calibri" w:hAnsi="Calibri" w:cs="Calibri"/>
          <w:sz w:val="22"/>
          <w:szCs w:val="22"/>
          <w:lang w:val="en-GB"/>
        </w:rPr>
        <w:t xml:space="preserve"> </w:t>
      </w:r>
      <w:r w:rsidR="00384397" w:rsidRPr="005C5DA6">
        <w:rPr>
          <w:rFonts w:ascii="Calibri" w:eastAsia="Calibri" w:hAnsi="Calibri" w:cs="Calibri"/>
          <w:b/>
          <w:sz w:val="22"/>
          <w:szCs w:val="22"/>
          <w:lang w:val="en-GB"/>
        </w:rPr>
        <w:t>2015 agreement to coincide with the March 2015 deadline</w:t>
      </w:r>
      <w:r w:rsidR="00384397">
        <w:rPr>
          <w:rFonts w:ascii="Calibri" w:eastAsia="Calibri" w:hAnsi="Calibri" w:cs="Calibri"/>
          <w:sz w:val="22"/>
          <w:szCs w:val="22"/>
          <w:lang w:val="en-GB"/>
        </w:rPr>
        <w:t xml:space="preserve"> for INDCs and ensure that Parties </w:t>
      </w:r>
      <w:r w:rsidR="00384397" w:rsidRPr="00384397">
        <w:rPr>
          <w:rFonts w:ascii="Calibri" w:eastAsia="Calibri" w:hAnsi="Calibri" w:cs="Calibri"/>
          <w:sz w:val="22"/>
          <w:szCs w:val="22"/>
          <w:lang w:val="en-GB"/>
        </w:rPr>
        <w:t>agree on a roadmap for scaling up new and additional finance</w:t>
      </w:r>
      <w:r w:rsidR="00384397">
        <w:rPr>
          <w:rFonts w:ascii="Calibri" w:eastAsia="Calibri" w:hAnsi="Calibri" w:cs="Calibri"/>
          <w:sz w:val="22"/>
          <w:szCs w:val="22"/>
          <w:lang w:val="en-GB"/>
        </w:rPr>
        <w:t xml:space="preserve"> before 2020</w:t>
      </w:r>
      <w:r w:rsidR="005C5DA6">
        <w:rPr>
          <w:rFonts w:ascii="Calibri" w:eastAsia="Calibri" w:hAnsi="Calibri" w:cs="Calibri"/>
          <w:sz w:val="22"/>
          <w:szCs w:val="22"/>
          <w:lang w:val="en-GB"/>
        </w:rPr>
        <w:t>,</w:t>
      </w:r>
      <w:r w:rsidR="00384397">
        <w:rPr>
          <w:rFonts w:ascii="Calibri" w:eastAsia="Calibri" w:hAnsi="Calibri" w:cs="Calibri"/>
          <w:sz w:val="22"/>
          <w:szCs w:val="22"/>
          <w:lang w:val="en-GB"/>
        </w:rPr>
        <w:t xml:space="preserve"> a</w:t>
      </w:r>
      <w:r w:rsidR="005C5DA6">
        <w:rPr>
          <w:rFonts w:ascii="Calibri" w:eastAsia="Calibri" w:hAnsi="Calibri" w:cs="Calibri"/>
          <w:sz w:val="22"/>
          <w:szCs w:val="22"/>
          <w:lang w:val="en-GB"/>
        </w:rPr>
        <w:t xml:space="preserve">s well as for </w:t>
      </w:r>
      <w:r w:rsidR="00384397">
        <w:rPr>
          <w:rFonts w:ascii="Calibri" w:eastAsia="Calibri" w:hAnsi="Calibri" w:cs="Calibri"/>
          <w:sz w:val="22"/>
          <w:szCs w:val="22"/>
          <w:lang w:val="en-GB"/>
        </w:rPr>
        <w:t xml:space="preserve">the Paris Agreement, with </w:t>
      </w:r>
      <w:r w:rsidR="00384397" w:rsidRPr="00384397">
        <w:rPr>
          <w:rFonts w:ascii="Calibri" w:eastAsia="Calibri" w:hAnsi="Calibri" w:cs="Calibri"/>
          <w:sz w:val="22"/>
          <w:szCs w:val="22"/>
          <w:lang w:val="en-GB"/>
        </w:rPr>
        <w:t>mechanism</w:t>
      </w:r>
      <w:r w:rsidR="00384397">
        <w:rPr>
          <w:rFonts w:ascii="Calibri" w:eastAsia="Calibri" w:hAnsi="Calibri" w:cs="Calibri"/>
          <w:sz w:val="22"/>
          <w:szCs w:val="22"/>
          <w:lang w:val="en-GB"/>
        </w:rPr>
        <w:t>s</w:t>
      </w:r>
      <w:r w:rsidR="00384397" w:rsidRPr="00384397">
        <w:rPr>
          <w:rFonts w:ascii="Calibri" w:eastAsia="Calibri" w:hAnsi="Calibri" w:cs="Calibri"/>
          <w:sz w:val="22"/>
          <w:szCs w:val="22"/>
          <w:lang w:val="en-GB"/>
        </w:rPr>
        <w:t xml:space="preserve"> </w:t>
      </w:r>
      <w:r w:rsidR="00384397">
        <w:rPr>
          <w:rFonts w:ascii="Calibri" w:eastAsia="Calibri" w:hAnsi="Calibri" w:cs="Calibri"/>
          <w:sz w:val="22"/>
          <w:szCs w:val="22"/>
          <w:lang w:val="en-GB"/>
        </w:rPr>
        <w:t>for</w:t>
      </w:r>
      <w:r w:rsidR="00384397" w:rsidRPr="00384397">
        <w:rPr>
          <w:rFonts w:ascii="Calibri" w:eastAsia="Calibri" w:hAnsi="Calibri" w:cs="Calibri"/>
          <w:sz w:val="22"/>
          <w:szCs w:val="22"/>
          <w:lang w:val="en-GB"/>
        </w:rPr>
        <w:t xml:space="preserve"> accountability and monitoring</w:t>
      </w:r>
      <w:r w:rsidR="00384397">
        <w:rPr>
          <w:rFonts w:ascii="Calibri" w:eastAsia="Calibri" w:hAnsi="Calibri" w:cs="Calibri"/>
          <w:sz w:val="22"/>
          <w:szCs w:val="22"/>
          <w:lang w:val="en-GB"/>
        </w:rPr>
        <w:t>.</w:t>
      </w:r>
    </w:p>
    <w:p w:rsidR="00384397" w:rsidRDefault="00384397" w:rsidP="00034AB9">
      <w:pPr>
        <w:rPr>
          <w:rFonts w:ascii="Calibri" w:eastAsia="Calibri" w:hAnsi="Calibri" w:cs="Calibri"/>
          <w:sz w:val="22"/>
          <w:szCs w:val="22"/>
        </w:rPr>
      </w:pPr>
    </w:p>
    <w:p w:rsidR="00384397" w:rsidRDefault="00EA7336" w:rsidP="00384397">
      <w:pPr>
        <w:rPr>
          <w:rFonts w:ascii="Calibri" w:eastAsia="Calibri" w:hAnsi="Calibri" w:cs="Calibri"/>
          <w:sz w:val="22"/>
          <w:szCs w:val="22"/>
          <w:lang w:val="en-GB"/>
        </w:rPr>
      </w:pPr>
      <w:r>
        <w:rPr>
          <w:rFonts w:ascii="Calibri" w:eastAsia="Calibri" w:hAnsi="Calibri" w:cs="Calibri"/>
          <w:sz w:val="22"/>
          <w:szCs w:val="22"/>
        </w:rPr>
        <w:t xml:space="preserve">The COP should mandate IMO and ICAO to set up </w:t>
      </w:r>
      <w:r w:rsidRPr="005C5DA6">
        <w:rPr>
          <w:rFonts w:ascii="Calibri" w:eastAsia="Calibri" w:hAnsi="Calibri" w:cs="Calibri"/>
          <w:b/>
          <w:sz w:val="22"/>
          <w:szCs w:val="22"/>
        </w:rPr>
        <w:t>measures with effect by 2020 to curb climate impacts of aviation and shipping</w:t>
      </w:r>
      <w:r w:rsidRPr="005C5DA6">
        <w:rPr>
          <w:rFonts w:ascii="Calibri" w:eastAsia="Calibri" w:hAnsi="Calibri" w:cs="Calibri"/>
          <w:b/>
          <w:sz w:val="22"/>
          <w:szCs w:val="22"/>
          <w:lang w:val="en-GB"/>
        </w:rPr>
        <w:t>,</w:t>
      </w:r>
      <w:r w:rsidRPr="00EA7336">
        <w:rPr>
          <w:rFonts w:ascii="Calibri" w:eastAsia="Calibri" w:hAnsi="Calibri" w:cs="Calibri"/>
          <w:sz w:val="22"/>
          <w:szCs w:val="22"/>
          <w:lang w:val="en-GB"/>
        </w:rPr>
        <w:t xml:space="preserve"> in line with the scale and urgency of the climate challenge</w:t>
      </w:r>
      <w:r>
        <w:rPr>
          <w:rFonts w:ascii="Calibri" w:eastAsia="Calibri" w:hAnsi="Calibri" w:cs="Calibri"/>
          <w:sz w:val="22"/>
          <w:szCs w:val="22"/>
          <w:lang w:val="en-GB"/>
        </w:rPr>
        <w:t xml:space="preserve">. </w:t>
      </w:r>
      <w:r w:rsidR="00384397" w:rsidRPr="005C5DA6">
        <w:rPr>
          <w:rFonts w:ascii="Calibri" w:eastAsia="Calibri" w:hAnsi="Calibri" w:cs="Calibri"/>
          <w:b/>
          <w:sz w:val="22"/>
          <w:szCs w:val="22"/>
        </w:rPr>
        <w:t>Re</w:t>
      </w:r>
      <w:r w:rsidR="00384397" w:rsidRPr="005C5DA6">
        <w:rPr>
          <w:rFonts w:ascii="Calibri" w:eastAsia="Calibri" w:hAnsi="Calibri" w:cs="Calibri"/>
          <w:b/>
          <w:sz w:val="22"/>
          <w:szCs w:val="22"/>
          <w:lang w:val="en-GB"/>
        </w:rPr>
        <w:t>venues from</w:t>
      </w:r>
      <w:r w:rsidR="00384397" w:rsidRPr="00384397">
        <w:rPr>
          <w:rFonts w:ascii="Calibri" w:eastAsia="Calibri" w:hAnsi="Calibri" w:cs="Calibri"/>
          <w:sz w:val="22"/>
          <w:szCs w:val="22"/>
          <w:lang w:val="en-GB"/>
        </w:rPr>
        <w:t xml:space="preserve"> market based instruments to reduce </w:t>
      </w:r>
      <w:r w:rsidR="00384397" w:rsidRPr="005C5DA6">
        <w:rPr>
          <w:rFonts w:ascii="Calibri" w:eastAsia="Calibri" w:hAnsi="Calibri" w:cs="Calibri"/>
          <w:b/>
          <w:sz w:val="22"/>
          <w:szCs w:val="22"/>
          <w:lang w:val="en-GB"/>
        </w:rPr>
        <w:t>global aviation and shipping emissions should be dedicated to contributing to post 2020 international climate finance and the Green Climate Fund</w:t>
      </w:r>
      <w:r w:rsidR="00384397">
        <w:rPr>
          <w:rFonts w:ascii="Calibri" w:eastAsia="Calibri" w:hAnsi="Calibri" w:cs="Calibri"/>
          <w:sz w:val="22"/>
          <w:szCs w:val="22"/>
          <w:lang w:val="en-GB"/>
        </w:rPr>
        <w:t xml:space="preserve">. </w:t>
      </w:r>
      <w:r w:rsidR="00384397">
        <w:rPr>
          <w:rFonts w:ascii="Calibri" w:eastAsia="Calibri" w:hAnsi="Calibri" w:cs="Calibri"/>
          <w:sz w:val="22"/>
          <w:szCs w:val="22"/>
        </w:rPr>
        <w:t xml:space="preserve">The initial </w:t>
      </w:r>
      <w:proofErr w:type="spellStart"/>
      <w:r w:rsidR="00384397">
        <w:rPr>
          <w:rFonts w:ascii="Calibri" w:eastAsia="Calibri" w:hAnsi="Calibri" w:cs="Calibri"/>
          <w:sz w:val="22"/>
          <w:szCs w:val="22"/>
        </w:rPr>
        <w:t>capitalisation</w:t>
      </w:r>
      <w:proofErr w:type="spellEnd"/>
      <w:r w:rsidR="00384397">
        <w:rPr>
          <w:rFonts w:ascii="Calibri" w:eastAsia="Calibri" w:hAnsi="Calibri" w:cs="Calibri"/>
          <w:sz w:val="22"/>
          <w:szCs w:val="22"/>
        </w:rPr>
        <w:t xml:space="preserve"> of t</w:t>
      </w:r>
      <w:r w:rsidR="00384397" w:rsidRPr="00384397">
        <w:rPr>
          <w:rFonts w:ascii="Calibri" w:eastAsia="Calibri" w:hAnsi="Calibri" w:cs="Calibri"/>
          <w:sz w:val="22"/>
          <w:szCs w:val="22"/>
          <w:lang w:val="en-GB"/>
        </w:rPr>
        <w:t xml:space="preserve">he Green Climate Fund </w:t>
      </w:r>
      <w:r w:rsidR="00384397">
        <w:rPr>
          <w:rFonts w:ascii="Calibri" w:eastAsia="Calibri" w:hAnsi="Calibri" w:cs="Calibri"/>
          <w:sz w:val="22"/>
          <w:szCs w:val="22"/>
          <w:lang w:val="en-GB"/>
        </w:rPr>
        <w:t xml:space="preserve">for the coming three years should not fall short of </w:t>
      </w:r>
      <w:r w:rsidR="00384397" w:rsidRPr="00384397">
        <w:rPr>
          <w:rFonts w:ascii="Calibri" w:eastAsia="Calibri" w:hAnsi="Calibri" w:cs="Calibri"/>
          <w:sz w:val="22"/>
          <w:szCs w:val="22"/>
          <w:lang w:val="en-GB"/>
        </w:rPr>
        <w:t>USD 15 billion</w:t>
      </w:r>
      <w:r w:rsidR="00384397">
        <w:rPr>
          <w:rFonts w:ascii="Calibri" w:eastAsia="Calibri" w:hAnsi="Calibri" w:cs="Calibri"/>
          <w:sz w:val="22"/>
          <w:szCs w:val="22"/>
          <w:lang w:val="en-GB"/>
        </w:rPr>
        <w:t xml:space="preserve">. </w:t>
      </w:r>
    </w:p>
    <w:p w:rsidR="00384397" w:rsidRDefault="00384397" w:rsidP="00384397">
      <w:pPr>
        <w:rPr>
          <w:rFonts w:ascii="Calibri" w:eastAsia="Calibri" w:hAnsi="Calibri" w:cs="Calibri"/>
          <w:sz w:val="22"/>
          <w:szCs w:val="22"/>
          <w:lang w:val="en-GB"/>
        </w:rPr>
      </w:pPr>
    </w:p>
    <w:p w:rsidR="00384397" w:rsidRPr="00384397" w:rsidRDefault="00384397" w:rsidP="00034AB9">
      <w:pPr>
        <w:rPr>
          <w:rFonts w:ascii="Calibri" w:eastAsia="Calibri" w:hAnsi="Calibri" w:cs="Calibri"/>
          <w:sz w:val="22"/>
          <w:szCs w:val="22"/>
          <w:lang w:val="en-GB"/>
        </w:rPr>
      </w:pPr>
      <w:r>
        <w:rPr>
          <w:rFonts w:ascii="Calibri" w:eastAsia="Calibri" w:hAnsi="Calibri" w:cs="Calibri"/>
          <w:sz w:val="22"/>
          <w:szCs w:val="22"/>
          <w:lang w:val="en-GB"/>
        </w:rPr>
        <w:t xml:space="preserve">The EU is the largest donor of international climate finance, but fails to coordinate its contribution. Greens call on </w:t>
      </w:r>
      <w:r w:rsidRPr="005C5DA6">
        <w:rPr>
          <w:rFonts w:ascii="Calibri" w:eastAsia="Calibri" w:hAnsi="Calibri" w:cs="Calibri"/>
          <w:b/>
          <w:sz w:val="22"/>
          <w:szCs w:val="22"/>
          <w:lang w:val="en-GB"/>
        </w:rPr>
        <w:t>EU to act collectively</w:t>
      </w:r>
      <w:r>
        <w:rPr>
          <w:rFonts w:ascii="Calibri" w:eastAsia="Calibri" w:hAnsi="Calibri" w:cs="Calibri"/>
          <w:sz w:val="22"/>
          <w:szCs w:val="22"/>
          <w:lang w:val="en-GB"/>
        </w:rPr>
        <w:t xml:space="preserve"> and </w:t>
      </w:r>
      <w:r w:rsidR="00EA7336">
        <w:rPr>
          <w:rFonts w:ascii="Calibri" w:eastAsia="Calibri" w:hAnsi="Calibri" w:cs="Calibri"/>
          <w:sz w:val="22"/>
          <w:szCs w:val="22"/>
          <w:lang w:val="en-GB"/>
        </w:rPr>
        <w:t xml:space="preserve">use revenues of </w:t>
      </w:r>
      <w:r>
        <w:rPr>
          <w:rFonts w:ascii="Calibri" w:eastAsia="Calibri" w:hAnsi="Calibri" w:cs="Calibri"/>
          <w:sz w:val="22"/>
          <w:szCs w:val="22"/>
          <w:lang w:val="en-GB"/>
        </w:rPr>
        <w:t>sources of finance that are independent from annual budgetary procedures of Member States.</w:t>
      </w:r>
    </w:p>
    <w:p w:rsidR="00022D18" w:rsidRDefault="00022D18">
      <w:pPr>
        <w:rPr>
          <w:rFonts w:ascii="Calibri" w:eastAsia="Calibri" w:hAnsi="Calibri" w:cs="Calibri"/>
          <w:b/>
          <w:bCs/>
          <w:i/>
          <w:iCs/>
          <w:sz w:val="22"/>
          <w:szCs w:val="22"/>
        </w:rPr>
      </w:pPr>
    </w:p>
    <w:p w:rsidR="00022D18" w:rsidRDefault="00CF36BB">
      <w:pPr>
        <w:numPr>
          <w:ilvl w:val="0"/>
          <w:numId w:val="9"/>
        </w:numPr>
        <w:tabs>
          <w:tab w:val="clear" w:pos="720"/>
          <w:tab w:val="num" w:pos="753"/>
        </w:tabs>
        <w:ind w:left="753" w:hanging="393"/>
        <w:rPr>
          <w:rFonts w:ascii="Trebuchet MS" w:eastAsia="Trebuchet MS" w:hAnsi="Trebuchet MS" w:cs="Trebuchet MS"/>
          <w:b/>
          <w:bCs/>
          <w:i/>
          <w:iCs/>
          <w:color w:val="00B050"/>
          <w:u w:color="00B050"/>
        </w:rPr>
      </w:pPr>
      <w:r>
        <w:rPr>
          <w:rFonts w:ascii="Calibri" w:eastAsia="Calibri" w:hAnsi="Calibri" w:cs="Calibri"/>
          <w:b/>
          <w:bCs/>
          <w:i/>
          <w:iCs/>
          <w:color w:val="00B050"/>
          <w:sz w:val="22"/>
          <w:szCs w:val="22"/>
          <w:u w:color="00B050"/>
        </w:rPr>
        <w:t>Ensures th</w:t>
      </w:r>
      <w:r w:rsidR="00034AB9">
        <w:rPr>
          <w:rFonts w:ascii="Calibri" w:eastAsia="Calibri" w:hAnsi="Calibri" w:cs="Calibri"/>
          <w:b/>
          <w:bCs/>
          <w:i/>
          <w:iCs/>
          <w:color w:val="00B050"/>
          <w:sz w:val="22"/>
          <w:szCs w:val="22"/>
          <w:u w:color="00B050"/>
        </w:rPr>
        <w:t xml:space="preserve">at a draft negotiation text of the Paris </w:t>
      </w:r>
      <w:r>
        <w:rPr>
          <w:rFonts w:ascii="Calibri" w:eastAsia="Calibri" w:hAnsi="Calibri" w:cs="Calibri"/>
          <w:b/>
          <w:bCs/>
          <w:i/>
          <w:iCs/>
          <w:color w:val="00B050"/>
          <w:sz w:val="22"/>
          <w:szCs w:val="22"/>
          <w:u w:color="00B050"/>
        </w:rPr>
        <w:t xml:space="preserve"> Agreement</w:t>
      </w:r>
    </w:p>
    <w:p w:rsidR="00022D18" w:rsidRDefault="00022D18">
      <w:pPr>
        <w:rPr>
          <w:rFonts w:ascii="Calibri" w:eastAsia="Calibri" w:hAnsi="Calibri" w:cs="Calibri"/>
          <w:sz w:val="22"/>
          <w:szCs w:val="22"/>
        </w:rPr>
      </w:pPr>
    </w:p>
    <w:p w:rsidR="00022D18" w:rsidRDefault="00CF36BB">
      <w:pPr>
        <w:rPr>
          <w:rFonts w:ascii="Calibri" w:eastAsia="Calibri" w:hAnsi="Calibri" w:cs="Calibri"/>
          <w:sz w:val="22"/>
          <w:szCs w:val="22"/>
        </w:rPr>
      </w:pPr>
      <w:r>
        <w:rPr>
          <w:rFonts w:ascii="Calibri" w:eastAsia="Calibri" w:hAnsi="Calibri" w:cs="Calibri"/>
          <w:sz w:val="22"/>
          <w:szCs w:val="22"/>
        </w:rPr>
        <w:t xml:space="preserve">The EU must ensure that the Lima Conference sets out the main elements of the 2015 Agreement in the form of a draft negotiation text, built on mitigation, adaptation and means of implementation as essential parts. </w:t>
      </w:r>
      <w:r>
        <w:rPr>
          <w:rFonts w:ascii="Calibri" w:eastAsia="Calibri" w:hAnsi="Calibri" w:cs="Calibri"/>
          <w:b/>
          <w:bCs/>
          <w:sz w:val="22"/>
          <w:szCs w:val="22"/>
        </w:rPr>
        <w:t xml:space="preserve">The future climate deal </w:t>
      </w:r>
      <w:r w:rsidR="00034AB9">
        <w:rPr>
          <w:rFonts w:ascii="Calibri" w:eastAsia="Calibri" w:hAnsi="Calibri" w:cs="Calibri"/>
          <w:b/>
          <w:bCs/>
          <w:sz w:val="22"/>
          <w:szCs w:val="22"/>
        </w:rPr>
        <w:t xml:space="preserve">needs </w:t>
      </w:r>
      <w:r>
        <w:rPr>
          <w:rFonts w:ascii="Calibri" w:eastAsia="Calibri" w:hAnsi="Calibri" w:cs="Calibri"/>
          <w:b/>
          <w:bCs/>
          <w:sz w:val="22"/>
          <w:szCs w:val="22"/>
        </w:rPr>
        <w:t>to be binding and applicable to all countries</w:t>
      </w:r>
      <w:r>
        <w:rPr>
          <w:rFonts w:ascii="Calibri" w:eastAsia="Calibri" w:hAnsi="Calibri" w:cs="Calibri"/>
          <w:sz w:val="22"/>
          <w:szCs w:val="22"/>
        </w:rPr>
        <w:t xml:space="preserve"> </w:t>
      </w:r>
      <w:r>
        <w:rPr>
          <w:rFonts w:ascii="Calibri" w:eastAsia="Calibri" w:hAnsi="Calibri" w:cs="Calibri"/>
          <w:b/>
          <w:bCs/>
          <w:sz w:val="22"/>
          <w:szCs w:val="22"/>
        </w:rPr>
        <w:t>and</w:t>
      </w:r>
      <w:r>
        <w:rPr>
          <w:rFonts w:ascii="Calibri" w:eastAsia="Calibri" w:hAnsi="Calibri" w:cs="Calibri"/>
          <w:sz w:val="22"/>
          <w:szCs w:val="22"/>
        </w:rPr>
        <w:t xml:space="preserve"> </w:t>
      </w:r>
      <w:r>
        <w:rPr>
          <w:rFonts w:ascii="Calibri" w:eastAsia="Calibri" w:hAnsi="Calibri" w:cs="Calibri"/>
          <w:b/>
          <w:bCs/>
          <w:sz w:val="22"/>
          <w:szCs w:val="22"/>
        </w:rPr>
        <w:t>built on a foundation of a common system for monitoring, reporting and verification of emissions to ensure transparency and accountability</w:t>
      </w:r>
      <w:r w:rsidR="005C5DA6">
        <w:rPr>
          <w:rFonts w:ascii="Calibri" w:eastAsia="Calibri" w:hAnsi="Calibri" w:cs="Calibri"/>
          <w:b/>
          <w:bCs/>
          <w:sz w:val="22"/>
          <w:szCs w:val="22"/>
        </w:rPr>
        <w:t xml:space="preserve"> of</w:t>
      </w:r>
      <w:r w:rsidRPr="005C5DA6">
        <w:rPr>
          <w:rFonts w:ascii="Calibri" w:eastAsia="Calibri" w:hAnsi="Calibri" w:cs="Calibri"/>
          <w:b/>
          <w:sz w:val="22"/>
          <w:szCs w:val="22"/>
        </w:rPr>
        <w:t xml:space="preserve"> commitments</w:t>
      </w:r>
      <w:r>
        <w:rPr>
          <w:rFonts w:ascii="Calibri" w:eastAsia="Calibri" w:hAnsi="Calibri" w:cs="Calibri"/>
          <w:sz w:val="22"/>
          <w:szCs w:val="22"/>
        </w:rPr>
        <w:t>.</w:t>
      </w:r>
      <w:r w:rsidR="00034AB9">
        <w:rPr>
          <w:rFonts w:ascii="Calibri" w:eastAsia="Calibri" w:hAnsi="Calibri" w:cs="Calibri"/>
          <w:sz w:val="22"/>
          <w:szCs w:val="22"/>
        </w:rPr>
        <w:t xml:space="preserve"> It needs to fix a </w:t>
      </w:r>
      <w:r w:rsidR="00034AB9" w:rsidRPr="005C5DA6">
        <w:rPr>
          <w:rFonts w:ascii="Calibri" w:eastAsia="Calibri" w:hAnsi="Calibri" w:cs="Calibri"/>
          <w:b/>
          <w:sz w:val="22"/>
          <w:szCs w:val="22"/>
        </w:rPr>
        <w:t xml:space="preserve">collective ambition level in terms of global carbon budget which is consistent with maintaining climate change to below 2°C. </w:t>
      </w:r>
      <w:r w:rsidR="00034AB9">
        <w:rPr>
          <w:rFonts w:ascii="Calibri" w:eastAsia="Calibri" w:hAnsi="Calibri" w:cs="Calibri"/>
          <w:sz w:val="22"/>
          <w:szCs w:val="22"/>
        </w:rPr>
        <w:t xml:space="preserve">The agreement must foresee a </w:t>
      </w:r>
      <w:r w:rsidR="00034AB9" w:rsidRPr="005C5DA6">
        <w:rPr>
          <w:rFonts w:ascii="Calibri" w:eastAsia="Calibri" w:hAnsi="Calibri" w:cs="Calibri"/>
          <w:b/>
          <w:sz w:val="22"/>
          <w:szCs w:val="22"/>
        </w:rPr>
        <w:t>regular review process</w:t>
      </w:r>
      <w:r w:rsidR="00034AB9">
        <w:rPr>
          <w:rFonts w:ascii="Calibri" w:eastAsia="Calibri" w:hAnsi="Calibri" w:cs="Calibri"/>
          <w:sz w:val="22"/>
          <w:szCs w:val="22"/>
        </w:rPr>
        <w:t xml:space="preserve"> to keep track of science and adequacy of climate action.</w:t>
      </w:r>
    </w:p>
    <w:p w:rsidR="00022D18" w:rsidRDefault="00022D18">
      <w:pPr>
        <w:rPr>
          <w:rFonts w:ascii="Calibri" w:eastAsia="Calibri" w:hAnsi="Calibri" w:cs="Calibri"/>
          <w:sz w:val="22"/>
          <w:szCs w:val="22"/>
        </w:rPr>
      </w:pPr>
    </w:p>
    <w:p w:rsidR="00022D18" w:rsidRDefault="00CF36BB">
      <w:pPr>
        <w:jc w:val="center"/>
      </w:pPr>
      <w:r>
        <w:rPr>
          <w:noProof/>
          <w:sz w:val="22"/>
          <w:szCs w:val="22"/>
          <w:lang w:val="fr-FR" w:eastAsia="fr-FR"/>
        </w:rPr>
        <w:drawing>
          <wp:inline distT="0" distB="0" distL="0" distR="0">
            <wp:extent cx="4813935" cy="1079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reensEFA-EN.png"/>
                    <pic:cNvPicPr/>
                  </pic:nvPicPr>
                  <pic:blipFill>
                    <a:blip r:embed="rId21">
                      <a:extLst/>
                    </a:blip>
                    <a:stretch>
                      <a:fillRect/>
                    </a:stretch>
                  </pic:blipFill>
                  <pic:spPr>
                    <a:xfrm>
                      <a:off x="0" y="0"/>
                      <a:ext cx="4813935" cy="1079500"/>
                    </a:xfrm>
                    <a:prstGeom prst="rect">
                      <a:avLst/>
                    </a:prstGeom>
                    <a:ln w="12700" cap="flat">
                      <a:noFill/>
                      <a:miter lim="400000"/>
                    </a:ln>
                    <a:effectLst/>
                  </pic:spPr>
                </pic:pic>
              </a:graphicData>
            </a:graphic>
          </wp:inline>
        </w:drawing>
      </w:r>
    </w:p>
    <w:sectPr w:rsidR="00022D18">
      <w:headerReference w:type="default" r:id="rId22"/>
      <w:footerReference w:type="default" r:id="rId2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C6" w:rsidRDefault="00340EC6">
      <w:r>
        <w:separator/>
      </w:r>
    </w:p>
  </w:endnote>
  <w:endnote w:type="continuationSeparator" w:id="0">
    <w:p w:rsidR="00340EC6" w:rsidRDefault="0034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18" w:rsidRDefault="00022D1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C6" w:rsidRDefault="00340EC6">
      <w:r>
        <w:separator/>
      </w:r>
    </w:p>
  </w:footnote>
  <w:footnote w:type="continuationSeparator" w:id="0">
    <w:p w:rsidR="00340EC6" w:rsidRDefault="0034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18" w:rsidRDefault="00022D1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5FC"/>
    <w:multiLevelType w:val="multilevel"/>
    <w:tmpl w:val="714A943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8140B4C"/>
    <w:multiLevelType w:val="multilevel"/>
    <w:tmpl w:val="3F82A8B4"/>
    <w:styleLink w:val="List41"/>
    <w:lvl w:ilvl="0">
      <w:numFmt w:val="bullet"/>
      <w:lvlText w:val="➢"/>
      <w:lvlJc w:val="left"/>
      <w:pPr>
        <w:tabs>
          <w:tab w:val="num" w:pos="720"/>
        </w:tabs>
        <w:ind w:left="720" w:hanging="360"/>
      </w:pPr>
      <w:rPr>
        <w:rFonts w:ascii="Trebuchet MS" w:eastAsia="Trebuchet MS" w:hAnsi="Trebuchet MS" w:cs="Trebuchet MS"/>
        <w:color w:val="00B050"/>
        <w:position w:val="0"/>
        <w:sz w:val="24"/>
        <w:szCs w:val="24"/>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2">
    <w:nsid w:val="0B765746"/>
    <w:multiLevelType w:val="multilevel"/>
    <w:tmpl w:val="CA664832"/>
    <w:styleLink w:val="List0"/>
    <w:lvl w:ilvl="0">
      <w:numFmt w:val="bullet"/>
      <w:lvlText w:val="➢"/>
      <w:lvlJc w:val="left"/>
      <w:pPr>
        <w:tabs>
          <w:tab w:val="num" w:pos="720"/>
        </w:tabs>
        <w:ind w:left="720" w:hanging="360"/>
      </w:pPr>
      <w:rPr>
        <w:rFonts w:ascii="Trebuchet MS" w:eastAsia="Trebuchet MS" w:hAnsi="Trebuchet MS" w:cs="Trebuchet MS"/>
        <w:color w:val="00B050"/>
        <w:position w:val="0"/>
        <w:sz w:val="24"/>
        <w:szCs w:val="24"/>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3">
    <w:nsid w:val="17496EFC"/>
    <w:multiLevelType w:val="multilevel"/>
    <w:tmpl w:val="3618BB6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BAA0029"/>
    <w:multiLevelType w:val="multilevel"/>
    <w:tmpl w:val="8634E7E4"/>
    <w:lvl w:ilvl="0">
      <w:start w:val="1"/>
      <w:numFmt w:val="bullet"/>
      <w:lvlText w:val="➢"/>
      <w:lvlJc w:val="left"/>
      <w:pPr>
        <w:tabs>
          <w:tab w:val="num" w:pos="720"/>
        </w:tabs>
        <w:ind w:left="720" w:hanging="360"/>
      </w:pPr>
      <w:rPr>
        <w:rFonts w:ascii="Calibri" w:eastAsia="Calibri" w:hAnsi="Calibri" w:cs="Calibri"/>
        <w:color w:val="00B050"/>
        <w:position w:val="0"/>
        <w:sz w:val="22"/>
        <w:szCs w:val="22"/>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5">
    <w:nsid w:val="25FF7150"/>
    <w:multiLevelType w:val="multilevel"/>
    <w:tmpl w:val="D334023C"/>
    <w:styleLink w:val="List31"/>
    <w:lvl w:ilvl="0">
      <w:numFmt w:val="bullet"/>
      <w:lvlText w:val="➢"/>
      <w:lvlJc w:val="left"/>
      <w:pPr>
        <w:tabs>
          <w:tab w:val="num" w:pos="720"/>
        </w:tabs>
        <w:ind w:left="720" w:hanging="360"/>
      </w:pPr>
      <w:rPr>
        <w:rFonts w:ascii="Trebuchet MS" w:eastAsia="Trebuchet MS" w:hAnsi="Trebuchet MS" w:cs="Trebuchet MS"/>
        <w:color w:val="00B050"/>
        <w:position w:val="0"/>
        <w:sz w:val="24"/>
        <w:szCs w:val="24"/>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6">
    <w:nsid w:val="273F463C"/>
    <w:multiLevelType w:val="multilevel"/>
    <w:tmpl w:val="398409B2"/>
    <w:styleLink w:val="List7"/>
    <w:lvl w:ilvl="0">
      <w:numFmt w:val="bullet"/>
      <w:lvlText w:val="➢"/>
      <w:lvlJc w:val="left"/>
      <w:pPr>
        <w:tabs>
          <w:tab w:val="num" w:pos="720"/>
        </w:tabs>
        <w:ind w:left="720" w:hanging="360"/>
      </w:pPr>
      <w:rPr>
        <w:rFonts w:ascii="Trebuchet MS" w:eastAsia="Trebuchet MS" w:hAnsi="Trebuchet MS" w:cs="Trebuchet MS"/>
        <w:color w:val="00B050"/>
        <w:position w:val="0"/>
        <w:sz w:val="24"/>
        <w:szCs w:val="24"/>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7">
    <w:nsid w:val="27B03920"/>
    <w:multiLevelType w:val="multilevel"/>
    <w:tmpl w:val="735C2568"/>
    <w:styleLink w:val="List21"/>
    <w:lvl w:ilvl="0">
      <w:numFmt w:val="bullet"/>
      <w:lvlText w:val="➢"/>
      <w:lvlJc w:val="left"/>
      <w:pPr>
        <w:tabs>
          <w:tab w:val="num" w:pos="720"/>
        </w:tabs>
        <w:ind w:left="720" w:hanging="360"/>
      </w:pPr>
      <w:rPr>
        <w:rFonts w:ascii="Trebuchet MS" w:eastAsia="Trebuchet MS" w:hAnsi="Trebuchet MS" w:cs="Trebuchet MS"/>
        <w:color w:val="00B050"/>
        <w:position w:val="0"/>
        <w:sz w:val="24"/>
        <w:szCs w:val="24"/>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8">
    <w:nsid w:val="347662C4"/>
    <w:multiLevelType w:val="multilevel"/>
    <w:tmpl w:val="73C81B74"/>
    <w:lvl w:ilvl="0">
      <w:start w:val="1"/>
      <w:numFmt w:val="bullet"/>
      <w:lvlText w:val="➢"/>
      <w:lvlJc w:val="left"/>
      <w:pPr>
        <w:tabs>
          <w:tab w:val="num" w:pos="720"/>
        </w:tabs>
        <w:ind w:left="720" w:hanging="360"/>
      </w:pPr>
      <w:rPr>
        <w:rFonts w:ascii="Calibri" w:eastAsia="Calibri" w:hAnsi="Calibri" w:cs="Calibri"/>
        <w:color w:val="00B050"/>
        <w:position w:val="0"/>
        <w:sz w:val="22"/>
        <w:szCs w:val="22"/>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9">
    <w:nsid w:val="390F2242"/>
    <w:multiLevelType w:val="multilevel"/>
    <w:tmpl w:val="E0B4090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3F5D1F73"/>
    <w:multiLevelType w:val="multilevel"/>
    <w:tmpl w:val="8F1C99B8"/>
    <w:lvl w:ilvl="0">
      <w:start w:val="1"/>
      <w:numFmt w:val="bullet"/>
      <w:lvlText w:val="➢"/>
      <w:lvlJc w:val="left"/>
      <w:pPr>
        <w:tabs>
          <w:tab w:val="num" w:pos="720"/>
        </w:tabs>
        <w:ind w:left="720" w:hanging="360"/>
      </w:pPr>
      <w:rPr>
        <w:rFonts w:ascii="Calibri" w:eastAsia="Calibri" w:hAnsi="Calibri" w:cs="Calibri"/>
        <w:color w:val="00B050"/>
        <w:position w:val="0"/>
        <w:sz w:val="22"/>
        <w:szCs w:val="22"/>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11">
    <w:nsid w:val="456D25CE"/>
    <w:multiLevelType w:val="multilevel"/>
    <w:tmpl w:val="082E3F84"/>
    <w:lvl w:ilvl="0">
      <w:start w:val="1"/>
      <w:numFmt w:val="bullet"/>
      <w:lvlText w:val="➢"/>
      <w:lvlJc w:val="left"/>
      <w:pPr>
        <w:tabs>
          <w:tab w:val="num" w:pos="720"/>
        </w:tabs>
        <w:ind w:left="720" w:hanging="360"/>
      </w:pPr>
      <w:rPr>
        <w:rFonts w:ascii="Calibri" w:eastAsia="Calibri" w:hAnsi="Calibri" w:cs="Calibri"/>
        <w:color w:val="00B050"/>
        <w:position w:val="0"/>
        <w:sz w:val="22"/>
        <w:szCs w:val="22"/>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12">
    <w:nsid w:val="49B576C6"/>
    <w:multiLevelType w:val="multilevel"/>
    <w:tmpl w:val="B824BA62"/>
    <w:lvl w:ilvl="0">
      <w:start w:val="1"/>
      <w:numFmt w:val="bullet"/>
      <w:lvlText w:val="➢"/>
      <w:lvlJc w:val="left"/>
      <w:pPr>
        <w:tabs>
          <w:tab w:val="num" w:pos="720"/>
        </w:tabs>
        <w:ind w:left="720" w:hanging="360"/>
      </w:pPr>
      <w:rPr>
        <w:rFonts w:ascii="Calibri" w:eastAsia="Calibri" w:hAnsi="Calibri" w:cs="Calibri"/>
        <w:color w:val="00B050"/>
        <w:position w:val="0"/>
        <w:sz w:val="22"/>
        <w:szCs w:val="22"/>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13">
    <w:nsid w:val="4FEA7878"/>
    <w:multiLevelType w:val="multilevel"/>
    <w:tmpl w:val="A6F8163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52B1269F"/>
    <w:multiLevelType w:val="multilevel"/>
    <w:tmpl w:val="A3D476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53AD5390"/>
    <w:multiLevelType w:val="multilevel"/>
    <w:tmpl w:val="20AA71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6E732A2"/>
    <w:multiLevelType w:val="multilevel"/>
    <w:tmpl w:val="6AB04996"/>
    <w:lvl w:ilvl="0">
      <w:start w:val="1"/>
      <w:numFmt w:val="bullet"/>
      <w:lvlText w:val="➢"/>
      <w:lvlJc w:val="left"/>
      <w:pPr>
        <w:tabs>
          <w:tab w:val="num" w:pos="720"/>
        </w:tabs>
        <w:ind w:left="720" w:hanging="360"/>
      </w:pPr>
      <w:rPr>
        <w:rFonts w:ascii="Calibri" w:eastAsia="Calibri" w:hAnsi="Calibri" w:cs="Calibri"/>
        <w:color w:val="00B050"/>
        <w:position w:val="0"/>
        <w:sz w:val="22"/>
        <w:szCs w:val="22"/>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17">
    <w:nsid w:val="5DA2483A"/>
    <w:multiLevelType w:val="multilevel"/>
    <w:tmpl w:val="43D6CF36"/>
    <w:lvl w:ilvl="0">
      <w:numFmt w:val="bullet"/>
      <w:lvlText w:val="➢"/>
      <w:lvlJc w:val="left"/>
      <w:pPr>
        <w:tabs>
          <w:tab w:val="num" w:pos="720"/>
        </w:tabs>
        <w:ind w:left="720" w:hanging="360"/>
      </w:pPr>
      <w:rPr>
        <w:rFonts w:ascii="Trebuchet MS" w:eastAsia="Trebuchet MS" w:hAnsi="Trebuchet MS" w:cs="Trebuchet MS"/>
        <w:color w:val="00B050"/>
        <w:position w:val="0"/>
        <w:sz w:val="24"/>
        <w:szCs w:val="24"/>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18">
    <w:nsid w:val="5E3303F3"/>
    <w:multiLevelType w:val="multilevel"/>
    <w:tmpl w:val="878A3A02"/>
    <w:styleLink w:val="List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9">
    <w:nsid w:val="5F4C29D0"/>
    <w:multiLevelType w:val="multilevel"/>
    <w:tmpl w:val="7D92B93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69E3010D"/>
    <w:multiLevelType w:val="multilevel"/>
    <w:tmpl w:val="1A3E0B06"/>
    <w:styleLink w:val="List6"/>
    <w:lvl w:ilvl="0">
      <w:numFmt w:val="bullet"/>
      <w:lvlText w:val="➢"/>
      <w:lvlJc w:val="left"/>
      <w:pPr>
        <w:tabs>
          <w:tab w:val="num" w:pos="720"/>
        </w:tabs>
        <w:ind w:left="720" w:hanging="360"/>
      </w:pPr>
      <w:rPr>
        <w:rFonts w:ascii="Trebuchet MS" w:eastAsia="Trebuchet MS" w:hAnsi="Trebuchet MS" w:cs="Trebuchet MS"/>
        <w:color w:val="00B050"/>
        <w:position w:val="0"/>
        <w:sz w:val="24"/>
        <w:szCs w:val="24"/>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21">
    <w:nsid w:val="6E200339"/>
    <w:multiLevelType w:val="multilevel"/>
    <w:tmpl w:val="C2BAE3A0"/>
    <w:lvl w:ilvl="0">
      <w:start w:val="1"/>
      <w:numFmt w:val="bullet"/>
      <w:lvlText w:val="➢"/>
      <w:lvlJc w:val="left"/>
      <w:pPr>
        <w:tabs>
          <w:tab w:val="num" w:pos="720"/>
        </w:tabs>
        <w:ind w:left="720" w:hanging="360"/>
      </w:pPr>
      <w:rPr>
        <w:rFonts w:ascii="Calibri" w:eastAsia="Calibri" w:hAnsi="Calibri" w:cs="Calibri"/>
        <w:color w:val="00B050"/>
        <w:position w:val="0"/>
        <w:sz w:val="22"/>
        <w:szCs w:val="22"/>
        <w:u w:color="00B050"/>
      </w:rPr>
    </w:lvl>
    <w:lvl w:ilvl="1">
      <w:start w:val="1"/>
      <w:numFmt w:val="bullet"/>
      <w:lvlText w:val="o"/>
      <w:lvlJc w:val="left"/>
      <w:pPr>
        <w:tabs>
          <w:tab w:val="num" w:pos="1410"/>
        </w:tabs>
        <w:ind w:left="1410" w:hanging="330"/>
      </w:pPr>
      <w:rPr>
        <w:rFonts w:ascii="Calibri" w:eastAsia="Calibri" w:hAnsi="Calibri" w:cs="Calibri"/>
        <w:color w:val="00B050"/>
        <w:position w:val="0"/>
        <w:sz w:val="22"/>
        <w:szCs w:val="22"/>
        <w:u w:color="00B050"/>
      </w:rPr>
    </w:lvl>
    <w:lvl w:ilvl="2">
      <w:start w:val="1"/>
      <w:numFmt w:val="bullet"/>
      <w:lvlText w:val="▪"/>
      <w:lvlJc w:val="left"/>
      <w:pPr>
        <w:tabs>
          <w:tab w:val="num" w:pos="2130"/>
        </w:tabs>
        <w:ind w:left="2130" w:hanging="330"/>
      </w:pPr>
      <w:rPr>
        <w:rFonts w:ascii="Calibri" w:eastAsia="Calibri" w:hAnsi="Calibri" w:cs="Calibri"/>
        <w:color w:val="00B050"/>
        <w:position w:val="0"/>
        <w:sz w:val="22"/>
        <w:szCs w:val="22"/>
        <w:u w:color="00B050"/>
      </w:rPr>
    </w:lvl>
    <w:lvl w:ilvl="3">
      <w:start w:val="1"/>
      <w:numFmt w:val="bullet"/>
      <w:lvlText w:val="•"/>
      <w:lvlJc w:val="left"/>
      <w:pPr>
        <w:tabs>
          <w:tab w:val="num" w:pos="2850"/>
        </w:tabs>
        <w:ind w:left="2850" w:hanging="330"/>
      </w:pPr>
      <w:rPr>
        <w:rFonts w:ascii="Calibri" w:eastAsia="Calibri" w:hAnsi="Calibri" w:cs="Calibri"/>
        <w:color w:val="00B050"/>
        <w:position w:val="0"/>
        <w:sz w:val="22"/>
        <w:szCs w:val="22"/>
        <w:u w:color="00B050"/>
      </w:rPr>
    </w:lvl>
    <w:lvl w:ilvl="4">
      <w:start w:val="1"/>
      <w:numFmt w:val="bullet"/>
      <w:lvlText w:val="o"/>
      <w:lvlJc w:val="left"/>
      <w:pPr>
        <w:tabs>
          <w:tab w:val="num" w:pos="3570"/>
        </w:tabs>
        <w:ind w:left="3570" w:hanging="330"/>
      </w:pPr>
      <w:rPr>
        <w:rFonts w:ascii="Calibri" w:eastAsia="Calibri" w:hAnsi="Calibri" w:cs="Calibri"/>
        <w:color w:val="00B050"/>
        <w:position w:val="0"/>
        <w:sz w:val="22"/>
        <w:szCs w:val="22"/>
        <w:u w:color="00B050"/>
      </w:rPr>
    </w:lvl>
    <w:lvl w:ilvl="5">
      <w:start w:val="1"/>
      <w:numFmt w:val="bullet"/>
      <w:lvlText w:val="▪"/>
      <w:lvlJc w:val="left"/>
      <w:pPr>
        <w:tabs>
          <w:tab w:val="num" w:pos="4290"/>
        </w:tabs>
        <w:ind w:left="4290" w:hanging="330"/>
      </w:pPr>
      <w:rPr>
        <w:rFonts w:ascii="Calibri" w:eastAsia="Calibri" w:hAnsi="Calibri" w:cs="Calibri"/>
        <w:color w:val="00B050"/>
        <w:position w:val="0"/>
        <w:sz w:val="22"/>
        <w:szCs w:val="22"/>
        <w:u w:color="00B050"/>
      </w:rPr>
    </w:lvl>
    <w:lvl w:ilvl="6">
      <w:start w:val="1"/>
      <w:numFmt w:val="bullet"/>
      <w:lvlText w:val="•"/>
      <w:lvlJc w:val="left"/>
      <w:pPr>
        <w:tabs>
          <w:tab w:val="num" w:pos="5010"/>
        </w:tabs>
        <w:ind w:left="5010" w:hanging="330"/>
      </w:pPr>
      <w:rPr>
        <w:rFonts w:ascii="Calibri" w:eastAsia="Calibri" w:hAnsi="Calibri" w:cs="Calibri"/>
        <w:color w:val="00B050"/>
        <w:position w:val="0"/>
        <w:sz w:val="22"/>
        <w:szCs w:val="22"/>
        <w:u w:color="00B050"/>
      </w:rPr>
    </w:lvl>
    <w:lvl w:ilvl="7">
      <w:start w:val="1"/>
      <w:numFmt w:val="bullet"/>
      <w:lvlText w:val="o"/>
      <w:lvlJc w:val="left"/>
      <w:pPr>
        <w:tabs>
          <w:tab w:val="num" w:pos="5730"/>
        </w:tabs>
        <w:ind w:left="5730" w:hanging="330"/>
      </w:pPr>
      <w:rPr>
        <w:rFonts w:ascii="Calibri" w:eastAsia="Calibri" w:hAnsi="Calibri" w:cs="Calibri"/>
        <w:color w:val="00B050"/>
        <w:position w:val="0"/>
        <w:sz w:val="22"/>
        <w:szCs w:val="22"/>
        <w:u w:color="00B050"/>
      </w:rPr>
    </w:lvl>
    <w:lvl w:ilvl="8">
      <w:start w:val="1"/>
      <w:numFmt w:val="bullet"/>
      <w:lvlText w:val="▪"/>
      <w:lvlJc w:val="left"/>
      <w:pPr>
        <w:tabs>
          <w:tab w:val="num" w:pos="6450"/>
        </w:tabs>
        <w:ind w:left="6450" w:hanging="330"/>
      </w:pPr>
      <w:rPr>
        <w:rFonts w:ascii="Calibri" w:eastAsia="Calibri" w:hAnsi="Calibri" w:cs="Calibri"/>
        <w:color w:val="00B050"/>
        <w:position w:val="0"/>
        <w:sz w:val="22"/>
        <w:szCs w:val="22"/>
        <w:u w:color="00B050"/>
      </w:rPr>
    </w:lvl>
  </w:abstractNum>
  <w:abstractNum w:abstractNumId="22">
    <w:nsid w:val="6E9A68E6"/>
    <w:multiLevelType w:val="multilevel"/>
    <w:tmpl w:val="13363FF8"/>
    <w:styleLink w:val="List51"/>
    <w:lvl w:ilvl="0">
      <w:numFmt w:val="bullet"/>
      <w:lvlText w:val="➢"/>
      <w:lvlJc w:val="left"/>
      <w:pPr>
        <w:tabs>
          <w:tab w:val="num" w:pos="720"/>
        </w:tabs>
        <w:ind w:left="720" w:hanging="360"/>
      </w:pPr>
      <w:rPr>
        <w:rFonts w:ascii="Trebuchet MS" w:eastAsia="Trebuchet MS" w:hAnsi="Trebuchet MS" w:cs="Trebuchet MS"/>
        <w:position w:val="0"/>
        <w:sz w:val="24"/>
        <w:szCs w:val="24"/>
        <w:shd w:val="clear" w:color="auto" w:fill="FFFF00"/>
      </w:rPr>
    </w:lvl>
    <w:lvl w:ilvl="1">
      <w:start w:val="1"/>
      <w:numFmt w:val="bullet"/>
      <w:lvlText w:val="o"/>
      <w:lvlJc w:val="left"/>
      <w:pPr>
        <w:tabs>
          <w:tab w:val="num" w:pos="1410"/>
        </w:tabs>
        <w:ind w:left="1410" w:hanging="330"/>
      </w:pPr>
      <w:rPr>
        <w:rFonts w:ascii="Calibri" w:eastAsia="Calibri" w:hAnsi="Calibri" w:cs="Calibri"/>
        <w:position w:val="0"/>
        <w:sz w:val="22"/>
        <w:szCs w:val="22"/>
        <w:shd w:val="clear" w:color="auto" w:fill="FFFF00"/>
      </w:rPr>
    </w:lvl>
    <w:lvl w:ilvl="2">
      <w:start w:val="1"/>
      <w:numFmt w:val="bullet"/>
      <w:lvlText w:val="▪"/>
      <w:lvlJc w:val="left"/>
      <w:pPr>
        <w:tabs>
          <w:tab w:val="num" w:pos="2130"/>
        </w:tabs>
        <w:ind w:left="2130" w:hanging="330"/>
      </w:pPr>
      <w:rPr>
        <w:rFonts w:ascii="Calibri" w:eastAsia="Calibri" w:hAnsi="Calibri" w:cs="Calibri"/>
        <w:position w:val="0"/>
        <w:sz w:val="22"/>
        <w:szCs w:val="22"/>
        <w:shd w:val="clear" w:color="auto" w:fill="FFFF00"/>
      </w:rPr>
    </w:lvl>
    <w:lvl w:ilvl="3">
      <w:start w:val="1"/>
      <w:numFmt w:val="bullet"/>
      <w:lvlText w:val="•"/>
      <w:lvlJc w:val="left"/>
      <w:pPr>
        <w:tabs>
          <w:tab w:val="num" w:pos="2850"/>
        </w:tabs>
        <w:ind w:left="2850" w:hanging="330"/>
      </w:pPr>
      <w:rPr>
        <w:rFonts w:ascii="Calibri" w:eastAsia="Calibri" w:hAnsi="Calibri" w:cs="Calibri"/>
        <w:position w:val="0"/>
        <w:sz w:val="22"/>
        <w:szCs w:val="22"/>
        <w:shd w:val="clear" w:color="auto" w:fill="FFFF00"/>
      </w:rPr>
    </w:lvl>
    <w:lvl w:ilvl="4">
      <w:start w:val="1"/>
      <w:numFmt w:val="bullet"/>
      <w:lvlText w:val="o"/>
      <w:lvlJc w:val="left"/>
      <w:pPr>
        <w:tabs>
          <w:tab w:val="num" w:pos="3570"/>
        </w:tabs>
        <w:ind w:left="3570" w:hanging="330"/>
      </w:pPr>
      <w:rPr>
        <w:rFonts w:ascii="Calibri" w:eastAsia="Calibri" w:hAnsi="Calibri" w:cs="Calibri"/>
        <w:position w:val="0"/>
        <w:sz w:val="22"/>
        <w:szCs w:val="22"/>
        <w:shd w:val="clear" w:color="auto" w:fill="FFFF00"/>
      </w:rPr>
    </w:lvl>
    <w:lvl w:ilvl="5">
      <w:start w:val="1"/>
      <w:numFmt w:val="bullet"/>
      <w:lvlText w:val="▪"/>
      <w:lvlJc w:val="left"/>
      <w:pPr>
        <w:tabs>
          <w:tab w:val="num" w:pos="4290"/>
        </w:tabs>
        <w:ind w:left="4290" w:hanging="330"/>
      </w:pPr>
      <w:rPr>
        <w:rFonts w:ascii="Calibri" w:eastAsia="Calibri" w:hAnsi="Calibri" w:cs="Calibri"/>
        <w:position w:val="0"/>
        <w:sz w:val="22"/>
        <w:szCs w:val="22"/>
        <w:shd w:val="clear" w:color="auto" w:fill="FFFF00"/>
      </w:rPr>
    </w:lvl>
    <w:lvl w:ilvl="6">
      <w:start w:val="1"/>
      <w:numFmt w:val="bullet"/>
      <w:lvlText w:val="•"/>
      <w:lvlJc w:val="left"/>
      <w:pPr>
        <w:tabs>
          <w:tab w:val="num" w:pos="5010"/>
        </w:tabs>
        <w:ind w:left="5010" w:hanging="330"/>
      </w:pPr>
      <w:rPr>
        <w:rFonts w:ascii="Calibri" w:eastAsia="Calibri" w:hAnsi="Calibri" w:cs="Calibri"/>
        <w:position w:val="0"/>
        <w:sz w:val="22"/>
        <w:szCs w:val="22"/>
        <w:shd w:val="clear" w:color="auto" w:fill="FFFF00"/>
      </w:rPr>
    </w:lvl>
    <w:lvl w:ilvl="7">
      <w:start w:val="1"/>
      <w:numFmt w:val="bullet"/>
      <w:lvlText w:val="o"/>
      <w:lvlJc w:val="left"/>
      <w:pPr>
        <w:tabs>
          <w:tab w:val="num" w:pos="5730"/>
        </w:tabs>
        <w:ind w:left="5730" w:hanging="330"/>
      </w:pPr>
      <w:rPr>
        <w:rFonts w:ascii="Calibri" w:eastAsia="Calibri" w:hAnsi="Calibri" w:cs="Calibri"/>
        <w:position w:val="0"/>
        <w:sz w:val="22"/>
        <w:szCs w:val="22"/>
        <w:shd w:val="clear" w:color="auto" w:fill="FFFF00"/>
      </w:rPr>
    </w:lvl>
    <w:lvl w:ilvl="8">
      <w:start w:val="1"/>
      <w:numFmt w:val="bullet"/>
      <w:lvlText w:val="▪"/>
      <w:lvlJc w:val="left"/>
      <w:pPr>
        <w:tabs>
          <w:tab w:val="num" w:pos="6450"/>
        </w:tabs>
        <w:ind w:left="6450" w:hanging="330"/>
      </w:pPr>
      <w:rPr>
        <w:rFonts w:ascii="Calibri" w:eastAsia="Calibri" w:hAnsi="Calibri" w:cs="Calibri"/>
        <w:position w:val="0"/>
        <w:sz w:val="22"/>
        <w:szCs w:val="22"/>
        <w:shd w:val="clear" w:color="auto" w:fill="FFFF00"/>
      </w:rPr>
    </w:lvl>
  </w:abstractNum>
  <w:abstractNum w:abstractNumId="23">
    <w:nsid w:val="7EED2C5B"/>
    <w:multiLevelType w:val="multilevel"/>
    <w:tmpl w:val="922AF66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7F7330BC"/>
    <w:multiLevelType w:val="multilevel"/>
    <w:tmpl w:val="C93CAAE8"/>
    <w:lvl w:ilvl="0">
      <w:start w:val="1"/>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num w:numId="1">
    <w:abstractNumId w:val="12"/>
  </w:num>
  <w:num w:numId="2">
    <w:abstractNumId w:val="19"/>
  </w:num>
  <w:num w:numId="3">
    <w:abstractNumId w:val="2"/>
  </w:num>
  <w:num w:numId="4">
    <w:abstractNumId w:val="24"/>
  </w:num>
  <w:num w:numId="5">
    <w:abstractNumId w:val="3"/>
  </w:num>
  <w:num w:numId="6">
    <w:abstractNumId w:val="18"/>
  </w:num>
  <w:num w:numId="7">
    <w:abstractNumId w:val="21"/>
  </w:num>
  <w:num w:numId="8">
    <w:abstractNumId w:val="0"/>
  </w:num>
  <w:num w:numId="9">
    <w:abstractNumId w:val="7"/>
  </w:num>
  <w:num w:numId="10">
    <w:abstractNumId w:val="10"/>
  </w:num>
  <w:num w:numId="11">
    <w:abstractNumId w:val="15"/>
  </w:num>
  <w:num w:numId="12">
    <w:abstractNumId w:val="5"/>
  </w:num>
  <w:num w:numId="13">
    <w:abstractNumId w:val="4"/>
  </w:num>
  <w:num w:numId="14">
    <w:abstractNumId w:val="14"/>
  </w:num>
  <w:num w:numId="15">
    <w:abstractNumId w:val="1"/>
  </w:num>
  <w:num w:numId="16">
    <w:abstractNumId w:val="16"/>
  </w:num>
  <w:num w:numId="17">
    <w:abstractNumId w:val="9"/>
  </w:num>
  <w:num w:numId="18">
    <w:abstractNumId w:val="17"/>
  </w:num>
  <w:num w:numId="19">
    <w:abstractNumId w:val="22"/>
  </w:num>
  <w:num w:numId="20">
    <w:abstractNumId w:val="11"/>
  </w:num>
  <w:num w:numId="21">
    <w:abstractNumId w:val="23"/>
  </w:num>
  <w:num w:numId="22">
    <w:abstractNumId w:val="20"/>
  </w:num>
  <w:num w:numId="23">
    <w:abstractNumId w:val="8"/>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2D18"/>
    <w:rsid w:val="00022D18"/>
    <w:rsid w:val="00034AB9"/>
    <w:rsid w:val="00340EC6"/>
    <w:rsid w:val="003726C6"/>
    <w:rsid w:val="00384397"/>
    <w:rsid w:val="005C5DA6"/>
    <w:rsid w:val="008D31F4"/>
    <w:rsid w:val="00B568A6"/>
    <w:rsid w:val="00CE7C26"/>
    <w:rsid w:val="00CF36BB"/>
    <w:rsid w:val="00EA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Link">
    <w:name w:val="Link"/>
    <w:rPr>
      <w:strike w:val="0"/>
      <w:dstrike w:val="0"/>
      <w:color w:val="0000FF"/>
      <w:u w:val="none" w:color="0000FF"/>
    </w:rPr>
  </w:style>
  <w:style w:type="character" w:customStyle="1" w:styleId="Hyperlink0">
    <w:name w:val="Hyperlink.0"/>
    <w:basedOn w:val="Link"/>
    <w:rPr>
      <w:rFonts w:ascii="Calibri" w:eastAsia="Calibri" w:hAnsi="Calibri" w:cs="Calibri"/>
      <w:strike w:val="0"/>
      <w:dstrike w:val="0"/>
      <w:color w:val="0000FF"/>
      <w:sz w:val="22"/>
      <w:szCs w:val="22"/>
      <w:u w:val="none" w:color="0000FF"/>
    </w:rPr>
  </w:style>
  <w:style w:type="character" w:customStyle="1" w:styleId="Hyperlink1">
    <w:name w:val="Hyperlink.1"/>
    <w:basedOn w:val="Link"/>
    <w:rPr>
      <w:rFonts w:ascii="Calibri" w:eastAsia="Calibri" w:hAnsi="Calibri" w:cs="Calibri"/>
      <w:strike w:val="0"/>
      <w:dstrike w:val="0"/>
      <w:color w:val="0000FF"/>
      <w:sz w:val="22"/>
      <w:szCs w:val="22"/>
      <w:u w:val="none" w:color="0000FF"/>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pPr>
      <w:jc w:val="both"/>
    </w:pPr>
    <w:rPr>
      <w:rFonts w:ascii="Calibri" w:eastAsia="Calibri" w:hAnsi="Calibri" w:cs="Calibri"/>
      <w:color w:val="000000"/>
      <w:sz w:val="24"/>
      <w:szCs w:val="24"/>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character" w:customStyle="1" w:styleId="Hyperlink2">
    <w:name w:val="Hyperlink.2"/>
    <w:basedOn w:val="Link"/>
    <w:rPr>
      <w:rFonts w:ascii="Calibri" w:eastAsia="Calibri" w:hAnsi="Calibri" w:cs="Calibri"/>
      <w:strike w:val="0"/>
      <w:dstrike w:val="0"/>
      <w:color w:val="0000FF"/>
      <w:sz w:val="22"/>
      <w:szCs w:val="22"/>
      <w:u w:val="none" w:color="0000FF"/>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7"/>
    <w:pPr>
      <w:numPr>
        <w:numId w:val="22"/>
      </w:numPr>
    </w:pPr>
  </w:style>
  <w:style w:type="numbering" w:customStyle="1" w:styleId="ImportedStyle7">
    <w:name w:val="Imported Style 7"/>
  </w:style>
  <w:style w:type="numbering" w:customStyle="1" w:styleId="List7">
    <w:name w:val="List 7"/>
    <w:basedOn w:val="ImportedStyle8"/>
    <w:pPr>
      <w:numPr>
        <w:numId w:val="25"/>
      </w:numPr>
    </w:pPr>
  </w:style>
  <w:style w:type="numbering" w:customStyle="1" w:styleId="ImportedStyle8">
    <w:name w:val="Imported Style 8"/>
  </w:style>
  <w:style w:type="paragraph" w:styleId="BalloonText">
    <w:name w:val="Balloon Text"/>
    <w:basedOn w:val="Normal"/>
    <w:link w:val="BalloonTextChar"/>
    <w:uiPriority w:val="99"/>
    <w:semiHidden/>
    <w:unhideWhenUsed/>
    <w:rsid w:val="00034AB9"/>
    <w:rPr>
      <w:rFonts w:ascii="Tahoma" w:hAnsi="Tahoma" w:cs="Tahoma"/>
      <w:sz w:val="16"/>
      <w:szCs w:val="16"/>
    </w:rPr>
  </w:style>
  <w:style w:type="character" w:customStyle="1" w:styleId="BalloonTextChar">
    <w:name w:val="Balloon Text Char"/>
    <w:basedOn w:val="DefaultParagraphFont"/>
    <w:link w:val="BalloonText"/>
    <w:uiPriority w:val="99"/>
    <w:semiHidden/>
    <w:rsid w:val="00034AB9"/>
    <w:rPr>
      <w:rFonts w:ascii="Tahoma"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lang w:val="en-US"/>
    </w:rPr>
  </w:style>
  <w:style w:type="character" w:customStyle="1" w:styleId="Link">
    <w:name w:val="Link"/>
    <w:rPr>
      <w:strike w:val="0"/>
      <w:dstrike w:val="0"/>
      <w:color w:val="0000FF"/>
      <w:u w:val="none" w:color="0000FF"/>
    </w:rPr>
  </w:style>
  <w:style w:type="character" w:customStyle="1" w:styleId="Hyperlink0">
    <w:name w:val="Hyperlink.0"/>
    <w:basedOn w:val="Link"/>
    <w:rPr>
      <w:rFonts w:ascii="Calibri" w:eastAsia="Calibri" w:hAnsi="Calibri" w:cs="Calibri"/>
      <w:strike w:val="0"/>
      <w:dstrike w:val="0"/>
      <w:color w:val="0000FF"/>
      <w:sz w:val="22"/>
      <w:szCs w:val="22"/>
      <w:u w:val="none" w:color="0000FF"/>
    </w:rPr>
  </w:style>
  <w:style w:type="character" w:customStyle="1" w:styleId="Hyperlink1">
    <w:name w:val="Hyperlink.1"/>
    <w:basedOn w:val="Link"/>
    <w:rPr>
      <w:rFonts w:ascii="Calibri" w:eastAsia="Calibri" w:hAnsi="Calibri" w:cs="Calibri"/>
      <w:strike w:val="0"/>
      <w:dstrike w:val="0"/>
      <w:color w:val="0000FF"/>
      <w:sz w:val="22"/>
      <w:szCs w:val="22"/>
      <w:u w:val="none" w:color="0000FF"/>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pPr>
      <w:jc w:val="both"/>
    </w:pPr>
    <w:rPr>
      <w:rFonts w:ascii="Calibri" w:eastAsia="Calibri" w:hAnsi="Calibri" w:cs="Calibri"/>
      <w:color w:val="000000"/>
      <w:sz w:val="24"/>
      <w:szCs w:val="24"/>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character" w:customStyle="1" w:styleId="Hyperlink2">
    <w:name w:val="Hyperlink.2"/>
    <w:basedOn w:val="Link"/>
    <w:rPr>
      <w:rFonts w:ascii="Calibri" w:eastAsia="Calibri" w:hAnsi="Calibri" w:cs="Calibri"/>
      <w:strike w:val="0"/>
      <w:dstrike w:val="0"/>
      <w:color w:val="0000FF"/>
      <w:sz w:val="22"/>
      <w:szCs w:val="22"/>
      <w:u w:val="none" w:color="0000FF"/>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7"/>
    <w:pPr>
      <w:numPr>
        <w:numId w:val="22"/>
      </w:numPr>
    </w:pPr>
  </w:style>
  <w:style w:type="numbering" w:customStyle="1" w:styleId="ImportedStyle7">
    <w:name w:val="Imported Style 7"/>
  </w:style>
  <w:style w:type="numbering" w:customStyle="1" w:styleId="List7">
    <w:name w:val="List 7"/>
    <w:basedOn w:val="ImportedStyle8"/>
    <w:pPr>
      <w:numPr>
        <w:numId w:val="25"/>
      </w:numPr>
    </w:pPr>
  </w:style>
  <w:style w:type="numbering" w:customStyle="1" w:styleId="ImportedStyle8">
    <w:name w:val="Imported Style 8"/>
  </w:style>
  <w:style w:type="paragraph" w:styleId="BalloonText">
    <w:name w:val="Balloon Text"/>
    <w:basedOn w:val="Normal"/>
    <w:link w:val="BalloonTextChar"/>
    <w:uiPriority w:val="99"/>
    <w:semiHidden/>
    <w:unhideWhenUsed/>
    <w:rsid w:val="00034AB9"/>
    <w:rPr>
      <w:rFonts w:ascii="Tahoma" w:hAnsi="Tahoma" w:cs="Tahoma"/>
      <w:sz w:val="16"/>
      <w:szCs w:val="16"/>
    </w:rPr>
  </w:style>
  <w:style w:type="character" w:customStyle="1" w:styleId="BalloonTextChar">
    <w:name w:val="Balloon Text Char"/>
    <w:basedOn w:val="DefaultParagraphFont"/>
    <w:link w:val="BalloonText"/>
    <w:uiPriority w:val="99"/>
    <w:semiHidden/>
    <w:rsid w:val="00034AB9"/>
    <w:rPr>
      <w:rFonts w:ascii="Tahoma"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2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guardian.com/environment/2014/nov/02/rapid-carbon-emission-cuts-severe-impact-climate-change-ipcc-report" TargetMode="External"/><Relationship Id="rId18" Type="http://schemas.openxmlformats.org/officeDocument/2006/relationships/hyperlink" Target="http://www.google.be/url?sa=t&amp;rct=j&amp;q=&amp;esrc=s&amp;frm=1&amp;source=web&amp;cd=1&amp;ved=0cceqfjaa&amp;url=http%253a%252f%252fozone.unep.org%252fnew_site%252fen%252fmontreal_protocol.php&amp;ei=vftyvl3akujbsast7ge&amp;usg=afqjcnepkmvc7g7sjemdozcuanck1gcxcg&amp;sig2=wadmodmblla3slca38v_eg&amp;bvm=bv.78677474,d.cwc"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climatecentral.org/news/ex-ipcc-head-prepare-for-5c-warmer-world-15610" TargetMode="External"/><Relationship Id="rId17" Type="http://schemas.openxmlformats.org/officeDocument/2006/relationships/hyperlink" Target="http://www.ipsnews.net/2010/11/climate-change-gap-between-science-and-pledges-likely-to-outlive-cancu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pclimatechange.net/faq/" TargetMode="External"/><Relationship Id="rId20" Type="http://schemas.openxmlformats.org/officeDocument/2006/relationships/hyperlink" Target="http://mitigationpartnership.net/intended-nationally-determined-contributions-ind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bonbrief.org/blog/2014/11/briefing-the-ipcc-synthesis-report-new-and-interes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rbonmarketwatch.org/analysis-of-europes-2030-climate-ambition/" TargetMode="External"/><Relationship Id="rId23" Type="http://schemas.openxmlformats.org/officeDocument/2006/relationships/footer" Target="footer1.xml"/><Relationship Id="rId10" Type="http://schemas.openxmlformats.org/officeDocument/2006/relationships/hyperlink" Target="http://stopclimatechange.net/fileadmin/content/documents/international-climate-discussions/ipcc2_200x200_12s_en_web.pdf" TargetMode="External"/><Relationship Id="rId19" Type="http://schemas.openxmlformats.org/officeDocument/2006/relationships/hyperlink" Target="http://stopclimatechange.net/meta/article/article/873/" TargetMode="External"/><Relationship Id="rId4" Type="http://schemas.openxmlformats.org/officeDocument/2006/relationships/settings" Target="settings.xml"/><Relationship Id="rId9" Type="http://schemas.openxmlformats.org/officeDocument/2006/relationships/hyperlink" Target="http://www.ipcc.ch/report/ar5/" TargetMode="External"/><Relationship Id="rId14" Type="http://schemas.openxmlformats.org/officeDocument/2006/relationships/hyperlink" Target="http://stopclimatechange.net/faq/"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LEHTONEN Terhi</dc:creator>
  <cp:lastModifiedBy>CHALENCON Delphine</cp:lastModifiedBy>
  <cp:revision>2</cp:revision>
  <dcterms:created xsi:type="dcterms:W3CDTF">2014-11-26T12:58:00Z</dcterms:created>
  <dcterms:modified xsi:type="dcterms:W3CDTF">2014-11-26T12:58:00Z</dcterms:modified>
</cp:coreProperties>
</file>